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07D9B0" w14:textId="1E96E3D3" w:rsidR="00C5391D" w:rsidRPr="001A2FAD" w:rsidRDefault="00C5391D" w:rsidP="001A2FAD">
      <w:pPr>
        <w:spacing w:line="240" w:lineRule="auto"/>
        <w:jc w:val="both"/>
        <w:rPr>
          <w:rFonts w:ascii="Times New Roman" w:hAnsi="Times New Roman" w:cs="Times New Roman"/>
          <w:b/>
          <w:bCs/>
        </w:rPr>
      </w:pPr>
      <w:bookmarkStart w:id="0" w:name="_Hlk190414441"/>
      <w:bookmarkStart w:id="1" w:name="_GoBack"/>
      <w:bookmarkEnd w:id="1"/>
      <w:r w:rsidRPr="001A2FAD">
        <w:rPr>
          <w:rFonts w:ascii="Times New Roman" w:hAnsi="Times New Roman" w:cs="Times New Roman"/>
          <w:b/>
          <w:bCs/>
        </w:rPr>
        <w:t xml:space="preserve">Economic Feasibility of Onion Production Under Irrigated Conditions in </w:t>
      </w:r>
      <w:r w:rsidR="006C4BBB" w:rsidRPr="001A2FAD">
        <w:rPr>
          <w:rFonts w:ascii="Times New Roman" w:hAnsi="Times New Roman" w:cs="Times New Roman"/>
          <w:b/>
          <w:bCs/>
        </w:rPr>
        <w:t>Gebiresu zone</w:t>
      </w:r>
      <w:r w:rsidRPr="001A2FAD">
        <w:rPr>
          <w:rFonts w:ascii="Times New Roman" w:hAnsi="Times New Roman" w:cs="Times New Roman"/>
          <w:b/>
          <w:bCs/>
        </w:rPr>
        <w:t>, Afar Region, Ethiopia</w:t>
      </w:r>
    </w:p>
    <w:bookmarkEnd w:id="0"/>
    <w:p w14:paraId="71371837" w14:textId="77777777" w:rsidR="00C5391D" w:rsidRPr="001A2FAD" w:rsidRDefault="00C5391D" w:rsidP="001A2FAD">
      <w:pPr>
        <w:spacing w:line="240" w:lineRule="auto"/>
        <w:jc w:val="both"/>
        <w:rPr>
          <w:rFonts w:ascii="Times New Roman" w:hAnsi="Times New Roman" w:cs="Times New Roman"/>
          <w:bCs/>
        </w:rPr>
      </w:pPr>
      <w:r w:rsidRPr="001A2FAD">
        <w:rPr>
          <w:rFonts w:ascii="Times New Roman" w:hAnsi="Times New Roman" w:cs="Times New Roman"/>
          <w:b/>
          <w:bCs/>
          <w:vertAlign w:val="superscript"/>
        </w:rPr>
        <w:t>1</w:t>
      </w:r>
      <w:r w:rsidRPr="001A2FAD">
        <w:rPr>
          <w:rFonts w:ascii="Times New Roman" w:hAnsi="Times New Roman" w:cs="Times New Roman"/>
          <w:b/>
          <w:bCs/>
        </w:rPr>
        <w:t>Yitages Kuma Beji</w:t>
      </w:r>
      <w:r w:rsidRPr="001A2FAD">
        <w:rPr>
          <w:rFonts w:ascii="Times New Roman" w:hAnsi="Times New Roman" w:cs="Times New Roman"/>
          <w:b/>
          <w:bCs/>
          <w:vertAlign w:val="superscript"/>
        </w:rPr>
        <w:t>*</w:t>
      </w:r>
      <w:r w:rsidRPr="001A2FAD">
        <w:rPr>
          <w:rFonts w:ascii="Times New Roman" w:hAnsi="Times New Roman" w:cs="Times New Roman"/>
          <w:b/>
          <w:bCs/>
        </w:rPr>
        <w:t xml:space="preserve"> and </w:t>
      </w:r>
      <w:r w:rsidRPr="001A2FAD">
        <w:rPr>
          <w:rFonts w:ascii="Times New Roman" w:hAnsi="Times New Roman" w:cs="Times New Roman"/>
          <w:b/>
          <w:bCs/>
          <w:vertAlign w:val="superscript"/>
        </w:rPr>
        <w:t>2</w:t>
      </w:r>
      <w:r w:rsidRPr="001A2FAD">
        <w:rPr>
          <w:rFonts w:ascii="Times New Roman" w:hAnsi="Times New Roman" w:cs="Times New Roman"/>
          <w:b/>
          <w:bCs/>
        </w:rPr>
        <w:t>Shimelis Alemayehu Seta</w:t>
      </w:r>
      <w:r w:rsidRPr="001A2FAD">
        <w:rPr>
          <w:rFonts w:ascii="Times New Roman" w:hAnsi="Times New Roman" w:cs="Times New Roman"/>
          <w:b/>
          <w:bCs/>
          <w:vertAlign w:val="superscript"/>
        </w:rPr>
        <w:t xml:space="preserve"> </w:t>
      </w:r>
    </w:p>
    <w:p w14:paraId="69A8E9AB" w14:textId="77777777" w:rsidR="00C5391D" w:rsidRPr="001A2FAD" w:rsidRDefault="00C5391D" w:rsidP="001A2FAD">
      <w:pPr>
        <w:spacing w:line="240" w:lineRule="auto"/>
        <w:jc w:val="both"/>
        <w:rPr>
          <w:rFonts w:ascii="Times New Roman" w:hAnsi="Times New Roman" w:cs="Times New Roman"/>
          <w:bCs/>
        </w:rPr>
      </w:pPr>
      <w:r w:rsidRPr="001A2FAD">
        <w:rPr>
          <w:rFonts w:ascii="Times New Roman" w:hAnsi="Times New Roman" w:cs="Times New Roman"/>
        </w:rPr>
        <w:t xml:space="preserve">1 Melkassa Agricultural Research Center, Ethiopian Institute of Agricultural Research, P. O. Box 436, Adama, Ethiopia, </w:t>
      </w:r>
      <w:r w:rsidRPr="001A2FAD">
        <w:rPr>
          <w:rFonts w:ascii="Times New Roman" w:hAnsi="Times New Roman" w:cs="Times New Roman"/>
          <w:bCs/>
        </w:rPr>
        <w:t>yitagesk@gmail.com</w:t>
      </w:r>
    </w:p>
    <w:p w14:paraId="10193059" w14:textId="77777777" w:rsidR="00C5391D" w:rsidRPr="001A2FAD" w:rsidRDefault="00C5391D" w:rsidP="001A2FAD">
      <w:pPr>
        <w:spacing w:line="240" w:lineRule="auto"/>
        <w:jc w:val="both"/>
        <w:rPr>
          <w:rFonts w:ascii="Times New Roman" w:hAnsi="Times New Roman" w:cs="Times New Roman"/>
          <w:bCs/>
        </w:rPr>
      </w:pPr>
      <w:r w:rsidRPr="001A2FAD">
        <w:rPr>
          <w:rFonts w:ascii="Times New Roman" w:hAnsi="Times New Roman" w:cs="Times New Roman"/>
        </w:rPr>
        <w:t xml:space="preserve">2 Kulumssa Agricultural Research Center, Ethiopian Institute of Agricultural Research, P. O. Box 489, Asella, Ethiopia, </w:t>
      </w:r>
      <w:r w:rsidRPr="001A2FAD">
        <w:rPr>
          <w:rFonts w:ascii="Times New Roman" w:hAnsi="Times New Roman" w:cs="Times New Roman"/>
          <w:bCs/>
          <w:u w:val="single"/>
        </w:rPr>
        <w:t xml:space="preserve">shimitiwarc2012@gmail.com </w:t>
      </w:r>
    </w:p>
    <w:p w14:paraId="31607709" w14:textId="77777777" w:rsidR="00C5391D" w:rsidRPr="001A2FAD" w:rsidRDefault="00C5391D" w:rsidP="001A2FAD">
      <w:pPr>
        <w:pStyle w:val="Heading1"/>
        <w:numPr>
          <w:ilvl w:val="0"/>
          <w:numId w:val="0"/>
        </w:numPr>
        <w:spacing w:line="360" w:lineRule="auto"/>
        <w:ind w:left="720"/>
        <w:jc w:val="both"/>
        <w:rPr>
          <w:rFonts w:cs="Times New Roman"/>
          <w:b w:val="0"/>
          <w:sz w:val="24"/>
          <w:szCs w:val="24"/>
        </w:rPr>
      </w:pPr>
      <w:r w:rsidRPr="001A2FAD">
        <w:rPr>
          <w:rFonts w:cs="Times New Roman"/>
          <w:sz w:val="24"/>
          <w:szCs w:val="24"/>
        </w:rPr>
        <w:t>ABSTRACTS</w:t>
      </w:r>
    </w:p>
    <w:p w14:paraId="6FA93C18" w14:textId="5F674C67" w:rsidR="00750F44" w:rsidRPr="00750F44" w:rsidRDefault="00750F44" w:rsidP="00750F44">
      <w:pPr>
        <w:spacing w:before="100" w:beforeAutospacing="1" w:after="100" w:afterAutospacing="1" w:line="240" w:lineRule="auto"/>
        <w:jc w:val="both"/>
        <w:rPr>
          <w:rFonts w:ascii="Times New Roman" w:eastAsia="Times New Roman" w:hAnsi="Times New Roman" w:cs="Times New Roman"/>
          <w:i/>
          <w:kern w:val="0"/>
          <w:lang w:eastAsia="en-US"/>
          <w14:ligatures w14:val="none"/>
        </w:rPr>
      </w:pPr>
      <w:r w:rsidRPr="00750F44">
        <w:rPr>
          <w:rFonts w:ascii="Times New Roman" w:eastAsia="Times New Roman" w:hAnsi="Times New Roman" w:cs="Times New Roman"/>
          <w:i/>
          <w:kern w:val="0"/>
          <w:lang w:eastAsia="en-US"/>
          <w14:ligatures w14:val="none"/>
        </w:rPr>
        <w:t>Onion (Allium cepa L.) is one of the most important high-value vegetable crops in Ethiopia, contributing substantially to household income, employment, and agricultural commercialization. This study assessed the economic viability of irrigated onion production in the Gebiresu Zone of the Afar Regional State, Ethiopia. Data were collected from a sample of 200 onion producers selected from the Amibara, Gewane, Haruka, and Gelealo districts using structured questionnaires, key informant interviews, and market price information. Descriptive statistics and economic analysis were employed using SPSS and Microsoft Excel to evaluate production costs, returns, profitability, investment efficiency, and break-even indicators.</w:t>
      </w:r>
      <w:r w:rsidRPr="00E463C3">
        <w:rPr>
          <w:rFonts w:ascii="Times New Roman" w:eastAsia="Times New Roman" w:hAnsi="Times New Roman" w:cs="Times New Roman"/>
          <w:i/>
          <w:kern w:val="0"/>
          <w:lang w:eastAsia="en-US"/>
          <w14:ligatures w14:val="none"/>
        </w:rPr>
        <w:t xml:space="preserve"> </w:t>
      </w:r>
      <w:r w:rsidRPr="00750F44">
        <w:rPr>
          <w:rFonts w:ascii="Times New Roman" w:eastAsia="Times New Roman" w:hAnsi="Times New Roman" w:cs="Times New Roman"/>
          <w:i/>
          <w:kern w:val="0"/>
          <w:lang w:eastAsia="en-US"/>
          <w14:ligatures w14:val="none"/>
        </w:rPr>
        <w:t>The results showed that onion production is predominantly managed by male producers (89.5%), while most producers (53%) cultivated more than one hectare, indicating a strong commercial orientation. Furthermore, 51.5% of producers had 10–20 years of farming experience, whereas 10.5% were relatively new entrants. Economically, onion production was highly profitable, generating a gross return of ETB 2,125,000 ha⁻¹ and a net return of ETB 1,478,120 ha⁻¹. The benefit–cost ratio (3.28), profitability index (3.28), and return on investment (228.51%) demonstrated strong financial performance. The average yield of 250 qt ha⁻¹ substantially exceeded the break-even yield of 76.11 qt ha⁻¹, confirming the economic viability of the enterprise under irrigated conditions.</w:t>
      </w:r>
      <w:r w:rsidRPr="00E463C3">
        <w:rPr>
          <w:rFonts w:ascii="Times New Roman" w:eastAsia="Times New Roman" w:hAnsi="Times New Roman" w:cs="Times New Roman"/>
          <w:i/>
          <w:kern w:val="0"/>
          <w:lang w:eastAsia="en-US"/>
          <w14:ligatures w14:val="none"/>
        </w:rPr>
        <w:t xml:space="preserve"> </w:t>
      </w:r>
      <w:r w:rsidRPr="00750F44">
        <w:rPr>
          <w:rFonts w:ascii="Times New Roman" w:eastAsia="Times New Roman" w:hAnsi="Times New Roman" w:cs="Times New Roman"/>
          <w:i/>
          <w:kern w:val="0"/>
          <w:lang w:eastAsia="en-US"/>
          <w14:ligatures w14:val="none"/>
        </w:rPr>
        <w:t>Despite its profitability, onion production was constrained by high marketing costs, which accounted for 38.64% of total costs, as well as rising expenditures on labor and agrochemicals. Therefore, improving market infrastructure and market linkages, promoting efficient input use, strengthening extension and training services for less-experienced producers, and expanding access to rural credit are recommended to reduce production and marketing costs and enhance the profitability and sustainability of irrigated onion production.</w:t>
      </w:r>
    </w:p>
    <w:p w14:paraId="50C5B572" w14:textId="762B778F" w:rsidR="00C5391D" w:rsidRPr="001A2FAD" w:rsidRDefault="00C5391D" w:rsidP="001A2FAD">
      <w:pPr>
        <w:spacing w:line="240" w:lineRule="auto"/>
        <w:jc w:val="both"/>
        <w:rPr>
          <w:rFonts w:ascii="Times New Roman" w:hAnsi="Times New Roman" w:cs="Times New Roman"/>
        </w:rPr>
      </w:pPr>
      <w:r w:rsidRPr="001A2FAD">
        <w:rPr>
          <w:rFonts w:ascii="Times New Roman" w:hAnsi="Times New Roman" w:cs="Times New Roman"/>
          <w:b/>
          <w:bCs/>
        </w:rPr>
        <w:t xml:space="preserve">Keywords: </w:t>
      </w:r>
      <w:r w:rsidRPr="001A2FAD">
        <w:rPr>
          <w:rFonts w:ascii="Times New Roman" w:hAnsi="Times New Roman" w:cs="Times New Roman"/>
        </w:rPr>
        <w:t xml:space="preserve">Profitability, Production Costs, Gross Returns, Break-Even Yield, </w:t>
      </w:r>
      <w:r w:rsidR="00750F44">
        <w:t>Benefit–Cost ratio</w:t>
      </w:r>
    </w:p>
    <w:p w14:paraId="4BCEBD24" w14:textId="77777777" w:rsidR="00C5391D" w:rsidRPr="001A2FAD" w:rsidRDefault="00C5391D" w:rsidP="001A2FAD">
      <w:pPr>
        <w:pStyle w:val="Heading1"/>
        <w:spacing w:line="360" w:lineRule="auto"/>
        <w:jc w:val="both"/>
        <w:rPr>
          <w:rFonts w:cs="Times New Roman"/>
          <w:sz w:val="24"/>
          <w:szCs w:val="24"/>
        </w:rPr>
      </w:pPr>
      <w:r w:rsidRPr="001A2FAD">
        <w:rPr>
          <w:rFonts w:cs="Times New Roman"/>
          <w:sz w:val="24"/>
          <w:szCs w:val="24"/>
        </w:rPr>
        <w:t>INTRODUCTION</w:t>
      </w:r>
    </w:p>
    <w:p w14:paraId="553AE90A" w14:textId="2B79E4E3"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Onion (Allium cepa L.) is one of the most widely cultivated and consumed vegetable crops globally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&lt;EndNote&gt;&lt;Cite&gt;&lt;Author&gt;Pareek&lt;/Author&gt;&lt;Year&gt;2017&lt;/Year&gt;&lt;RecNum&gt;2&lt;/RecNum&gt;&lt;DisplayText&gt;(Pareek et al., 2017)&lt;/DisplayText&gt;&lt;record&gt;&lt;rec-number&gt;2&lt;/rec-number&gt;&lt;foreign-keys&gt;&lt;key app="EN" db-id="x2savr2skzpztmesfatpfzd7x5rp5ze0d2df" timestamp="1736892909"&gt;2&lt;/key&gt;&lt;/foreign-keys&gt;&lt;ref-type name="Journal Article"&gt;17&lt;/ref-type&gt;&lt;contributors&gt;&lt;authors&gt;&lt;author&gt;Pareek, Sunil&lt;/author&gt;&lt;author&gt;Sagar, Narashans Alok&lt;/author&gt;&lt;author&gt;Sharma, Sunil&lt;/author&gt;&lt;author&gt;Kumar, Vinay %J Fruit&lt;/author&gt;&lt;author&gt;Vegetable Phytochemicals: Chemistry&lt;/author&gt;&lt;author&gt;Human Health, 2nd Edition&lt;/author&gt;&lt;/authors&gt;&lt;/contributors&gt;&lt;titles&gt;&lt;title&gt;Onion (allium cepa L.)&lt;/title&gt;&lt;/titles&gt;&lt;pages&gt;1145-1162&lt;/pages&gt;&lt;dates&gt;&lt;year&gt;2017&lt;/year&gt;&lt;/dates&gt;&lt;urls&gt;&lt;/urls&gt;&lt;electronic-resource-num&gt; https://doi.org/10.1002/9781119158042.ch58&lt;/electronic-resource-num&gt;&lt;/record&gt;&lt;/Cite&gt;&lt;/EndNote&gt;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(Pareek et al., 2017)</w:t>
      </w:r>
      <w:r w:rsidRPr="001A2FAD">
        <w:rPr>
          <w:rFonts w:ascii="Times New Roman" w:hAnsi="Times New Roman" w:cs="Times New Roman"/>
        </w:rPr>
        <w:fldChar w:fldCharType="end"/>
      </w:r>
      <w:r w:rsidRPr="001A2FAD">
        <w:rPr>
          <w:rFonts w:ascii="Times New Roman" w:hAnsi="Times New Roman" w:cs="Times New Roman"/>
        </w:rPr>
        <w:t xml:space="preserve">. Its production spans across various regions due to its adaptability to diverse agro-climatic conditions and its role as a staple ingredient in culinary practices worldwide. In 2020, global onion production reached approximately 104 million metric tons, with major contributions from China, India, and the United States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&lt;EndNote&gt;&lt;Cite&gt;&lt;Author&gt;Jeanneaux&lt;/Author&gt;&lt;Year&gt;2023&lt;/Year&gt;&lt;RecNum&gt;4&lt;/RecNum&gt;&lt;DisplayText&gt;(Jeanneaux, 2023)&lt;/DisplayText&gt;&lt;record&gt;&lt;rec-number&gt;4&lt;/rec-number&gt;&lt;foreign-keys&gt;&lt;key app="EN" db-id="x2savr2skzpztmesfatpfzd7x5rp5ze0d2df" timestamp="1736893247"&gt;4&lt;/key&gt;&lt;/foreign-keys&gt;&lt;ref-type name="Thesis"&gt;32&lt;/ref-type&gt;&lt;contributors&gt;&lt;authors&gt;&lt;author&gt;Jeanneaux, Philippe&lt;/author&gt;&lt;/authors&gt;&lt;/contributors&gt;&lt;titles&gt;&lt;title&gt;Analysis of the US onion industry with a focus on New York state issues&lt;/title&gt;&lt;/titles&gt;&lt;dates&gt;&lt;year&gt;2023&lt;/year&gt;&lt;/dates&gt;&lt;publisher&gt;VetagroSup; UMR Territoires; Cornell University CALS&lt;/publisher&gt;&lt;urls&gt;&lt;/urls&gt;&lt;/record&gt;&lt;/Cite&gt;&lt;/EndNote&gt;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(Jeanneaux, 2023)</w:t>
      </w:r>
      <w:r w:rsidRPr="001A2FAD">
        <w:rPr>
          <w:rFonts w:ascii="Times New Roman" w:hAnsi="Times New Roman" w:cs="Times New Roman"/>
        </w:rPr>
        <w:fldChar w:fldCharType="end"/>
      </w:r>
      <w:r w:rsidRPr="001A2FAD">
        <w:rPr>
          <w:rFonts w:ascii="Times New Roman" w:hAnsi="Times New Roman" w:cs="Times New Roman"/>
        </w:rPr>
        <w:t xml:space="preserve">. These countries </w:t>
      </w:r>
      <w:r w:rsidRPr="001A2FAD">
        <w:rPr>
          <w:rFonts w:ascii="Times New Roman" w:hAnsi="Times New Roman" w:cs="Times New Roman"/>
        </w:rPr>
        <w:lastRenderedPageBreak/>
        <w:t>dominate the global onion market due to their advanced production techniques, efficient irrigation systems, and well-established supply chains. However, despite its global significance, onion production faces challenges such as water scarcity, pests, and post-harvest losses, which often limit productivity and profitability, particularly in developing countries.</w:t>
      </w:r>
    </w:p>
    <w:p w14:paraId="500B121A" w14:textId="6B613794"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In Ethiopia, onion is a high-value crop that contributes significantly to household income and national revenue. The country’s onion production has expanded rapidly in recent years, driven by growing domestic demand and export opportunities. Ethiopia produced approximately 371,000 metric tons of onions, cultivated primarily in the Oromia, Amhara, Tigray, and Afar regions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&lt;EndNote&gt;&lt;Cite&gt;&lt;Author&gt;Zegeye&lt;/Author&gt;&lt;Year&gt;2024&lt;/Year&gt;&lt;RecNum&gt;7&lt;/RecNum&gt;&lt;DisplayText&gt;(Zegeye, Alemu, Sisay, Mulaw, &amp;amp; Abate, 2024)&lt;/DisplayText&gt;&lt;record&gt;&lt;rec-number&gt;7&lt;/rec-number&gt;&lt;foreign-keys&gt;&lt;key app="EN" db-id="x2savr2skzpztmesfatpfzd7x5rp5ze0d2df" timestamp="1736893786"&gt;7&lt;/key&gt;&lt;/foreign-keys&gt;&lt;ref-type name="Journal Article"&gt;17&lt;/ref-type&gt;&lt;contributors&gt;&lt;authors&gt;&lt;author&gt;Zegeye, Mesele Belay&lt;/author&gt;&lt;author&gt;Alemu, Tesfahun Ayanaw&lt;/author&gt;&lt;author&gt;Sisay, Moges Asmare&lt;/author&gt;&lt;author&gt;Mulaw, Sisay Genanu&lt;/author&gt;&lt;author&gt;Abate, Tadesse Wudu %J Plos one&lt;/author&gt;&lt;/authors&gt;&lt;/contributors&gt;&lt;titles&gt;&lt;title&gt;Factors affecting onion production: An empirical study in the Raya Kobo district, Amhara regional state, Ethiopia&lt;/title&gt;&lt;/titles&gt;&lt;pages&gt;e0305134&lt;/pages&gt;&lt;volume&gt;19&lt;/volume&gt;&lt;number&gt;6&lt;/number&gt;&lt;dates&gt;&lt;year&gt;2024&lt;/year&gt;&lt;/dates&gt;&lt;isbn&gt;1932-6203&lt;/isbn&gt;&lt;urls&gt;&lt;/urls&gt;&lt;electronic-resource-num&gt;https://doi.org/10.1371/journal.pone.0305134&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(Zegeye, Alemu, Sisay, Mulaw, &amp; Abate, 2024)</w:t>
      </w:r>
      <w:r w:rsidRPr="001A2FAD">
        <w:rPr>
          <w:rFonts w:ascii="Times New Roman" w:hAnsi="Times New Roman" w:cs="Times New Roman"/>
        </w:rPr>
        <w:fldChar w:fldCharType="end"/>
      </w:r>
      <w:r w:rsidRPr="001A2FAD">
        <w:rPr>
          <w:rFonts w:ascii="Times New Roman" w:hAnsi="Times New Roman" w:cs="Times New Roman"/>
        </w:rPr>
        <w:t xml:space="preserve">. The crop is highly valued for its role in improving </w:t>
      </w:r>
      <w:r w:rsidR="00264030" w:rsidRPr="001A2FAD">
        <w:rPr>
          <w:rFonts w:ascii="Times New Roman" w:hAnsi="Times New Roman" w:cs="Times New Roman"/>
        </w:rPr>
        <w:t>producers</w:t>
      </w:r>
      <w:r w:rsidRPr="001A2FAD">
        <w:rPr>
          <w:rFonts w:ascii="Times New Roman" w:hAnsi="Times New Roman" w:cs="Times New Roman"/>
        </w:rPr>
        <w:t xml:space="preserve"> ' livelihoods, given its high market demand and profitability compared to other vegetables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&lt;EndNote&gt;&lt;Cite&gt;&lt;Author&gt;Nigussie&lt;/Author&gt;&lt;Year&gt;2015&lt;/Year&gt;&lt;RecNum&gt;8&lt;/RecNum&gt;&lt;DisplayText&gt;(A. Nigussie, Y. Kuma, A. Adisu, T. Alemu, &amp;amp; K. J. J. o. H. Desalegn, 2015b)&lt;/DisplayText&gt;&lt;record&gt;&lt;rec-number&gt;8&lt;/rec-number&gt;&lt;foreign-keys&gt;&lt;key app="EN" db-id="x2savr2skzpztmesfatpfzd7x5rp5ze0d2df" timestamp="1736893945"&gt;8&lt;/key&gt;&lt;/foreign-keys&gt;&lt;ref-type name="Journal Article"&gt;17&lt;/ref-type&gt;&lt;contributors&gt;&lt;authors&gt;&lt;author&gt;Nigussie, Aklilu&lt;/author&gt;&lt;author&gt;Kuma, Yitagesu&lt;/author&gt;&lt;author&gt;Adisu, Abiy&lt;/author&gt;&lt;author&gt;Alemu, Tigist&lt;/author&gt;&lt;author&gt;Desalegn, Kidane %J Journal of Horticulture&lt;/author&gt;&lt;/authors&gt;&lt;/contributors&gt;&lt;titles&gt;&lt;title&gt;Onion production for income generation in small scale irrigation users agropastoral households of Ethiopia&lt;/title&gt;&lt;/titles&gt;&lt;pages&gt;1-5&lt;/pages&gt;&lt;volume&gt;2&lt;/volume&gt;&lt;number&gt;3&lt;/number&gt;&lt;dates&gt;&lt;year&gt;2015&lt;/year&gt;&lt;/dates&gt;&lt;urls&gt;&lt;/urls&gt;&lt;electronic-resource-num&gt;doi:10.4172/2376-0354.1000145&lt;/electronic-resource-num&gt;&lt;/record&gt;&lt;/Cite&gt;&lt;Cite&gt;&lt;Author&gt;Nigussie&lt;/Author&gt;&lt;Year&gt;2015&lt;/Year&gt;&lt;RecNum&gt;8&lt;/RecNum&gt;&lt;record&gt;&lt;rec-number&gt;8&lt;/rec-number&gt;&lt;foreign-keys&gt;&lt;key app="EN" db-id="x2savr2skzpztmesfatpfzd7x5rp5ze0d2df" timestamp="1736893945"&gt;8&lt;/key&gt;&lt;/foreign-keys&gt;&lt;ref-type name="Journal Article"&gt;17&lt;/ref-type&gt;&lt;contributors&gt;&lt;authors&gt;&lt;author&gt;Nigussie, Aklilu&lt;/author&gt;&lt;author&gt;Kuma, Yitagesu&lt;/author&gt;&lt;author&gt;Adisu, Abiy&lt;/author&gt;&lt;author&gt;Alemu, Tigist&lt;/author&gt;&lt;author&gt;Desalegn, Kidane %J Journal of Horticulture&lt;/author&gt;&lt;/authors&gt;&lt;/contributors&gt;&lt;titles&gt;&lt;title&gt;Onion production for income generation in small scale irrigation users agropastoral households of Ethiopia&lt;/title&gt;&lt;/titles&gt;&lt;pages&gt;1-5&lt;/pages&gt;&lt;volume&gt;2&lt;/volume&gt;&lt;number&gt;3&lt;/number&gt;&lt;dates&gt;&lt;year&gt;2015&lt;/year&gt;&lt;/dates&gt;&lt;urls&gt;&lt;/urls&gt;&lt;electronic-resource-num&gt;doi:10.4172/2376-0354.1000145&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(A. Nigussie, Y. Kuma, A. Adisu, T. Alemu, &amp; K. J. J. o. H. Desalegn, 2015b)</w:t>
      </w:r>
      <w:r w:rsidRPr="001A2FAD">
        <w:rPr>
          <w:rFonts w:ascii="Times New Roman" w:hAnsi="Times New Roman" w:cs="Times New Roman"/>
        </w:rPr>
        <w:fldChar w:fldCharType="end"/>
      </w:r>
      <w:r w:rsidRPr="001A2FAD">
        <w:rPr>
          <w:rFonts w:ascii="Times New Roman" w:hAnsi="Times New Roman" w:cs="Times New Roman"/>
        </w:rPr>
        <w:t xml:space="preserve">. However, challenges such as inadequate access to irrigation, high input costs, and limited market linkages hinder the full exploitation of Ethiopia's onion production potential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&lt;EndNote&gt;&lt;Cite&gt;&lt;Author&gt;Alem&lt;/Author&gt;&lt;Year&gt;2008&lt;/Year&gt;&lt;RecNum&gt;11&lt;/RecNum&gt;&lt;DisplayText&gt;(Alem, 2008; Hunde, 2017)&lt;/DisplayText&gt;&lt;record&gt;&lt;rec-number&gt;11&lt;/rec-number&gt;&lt;foreign-keys&gt;&lt;key app="EN" db-id="x2savr2skzpztmesfatpfzd7x5rp5ze0d2df" timestamp="1736894404"&gt;11&lt;/key&gt;&lt;/foreign-keys&gt;&lt;ref-type name="Thesis"&gt;32&lt;/ref-type&gt;&lt;contributors&gt;&lt;authors&gt;&lt;author&gt;Alem, Kiros&lt;/author&gt;&lt;/authors&gt;&lt;/contributors&gt;&lt;titles&gt;&lt;title&gt;Opportunities and challenges of vegetable marketing in Kilte-Awlaelo Woreda&lt;/title&gt;&lt;/titles&gt;&lt;dates&gt;&lt;year&gt;2008&lt;/year&gt;&lt;/dates&gt;&lt;publisher&gt;The Institute of Development Studies and Partner Organisations&lt;/publisher&gt;&lt;urls&gt;&lt;/urls&gt;&lt;/record&gt;&lt;/Cite&gt;&lt;Cite&gt;&lt;Author&gt;Hunde&lt;/Author&gt;&lt;Year&gt;2017&lt;/Year&gt;&lt;RecNum&gt;10&lt;/RecNum&gt;&lt;record&gt;&lt;rec-number&gt;10&lt;/rec-number&gt;&lt;foreign-keys&gt;&lt;key app="EN" db-id="x2savr2skzpztmesfatpfzd7x5rp5ze0d2df" timestamp="1736894374"&gt;10&lt;/key&gt;&lt;/foreign-keys&gt;&lt;ref-type name="Journal Article"&gt;17&lt;/ref-type&gt;&lt;contributors&gt;&lt;authors&gt;&lt;author&gt;Hunde, Nimona Fufa %J J Plant Sci Res&lt;/author&gt;&lt;/authors&gt;&lt;/contributors&gt;&lt;titles&gt;&lt;title&gt;Opportunity, problems and production status of vegetables in Ethiopia: a review&lt;/title&gt;&lt;/titles&gt;&lt;pages&gt;172&lt;/pages&gt;&lt;volume&gt;4&lt;/volume&gt;&lt;number&gt;2&lt;/number&gt;&lt;dates&gt;&lt;year&gt;2017&lt;/year&gt;&lt;/dates&gt;&lt;isbn&gt;ISSN: 2349-2805&lt;/isbn&gt;&lt;urls&gt;&lt;/urls&gt;&lt;/record&gt;&lt;/Cite&gt;&lt;/EndNote&gt;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(Alem, 2008; Hunde, 2017)</w:t>
      </w:r>
      <w:r w:rsidRPr="001A2FAD">
        <w:rPr>
          <w:rFonts w:ascii="Times New Roman" w:hAnsi="Times New Roman" w:cs="Times New Roman"/>
        </w:rPr>
        <w:fldChar w:fldCharType="end"/>
      </w:r>
      <w:r w:rsidRPr="001A2FAD">
        <w:rPr>
          <w:rFonts w:ascii="Times New Roman" w:hAnsi="Times New Roman" w:cs="Times New Roman"/>
        </w:rPr>
        <w:t>.</w:t>
      </w:r>
    </w:p>
    <w:p w14:paraId="53C257BF" w14:textId="782145A3"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In the </w:t>
      </w:r>
      <w:r w:rsidR="00DF2213" w:rsidRPr="001A2FAD">
        <w:rPr>
          <w:rFonts w:ascii="Times New Roman" w:hAnsi="Times New Roman" w:cs="Times New Roman"/>
        </w:rPr>
        <w:t>Gebiresu Zone</w:t>
      </w:r>
      <w:r w:rsidRPr="001A2FAD">
        <w:rPr>
          <w:rFonts w:ascii="Times New Roman" w:hAnsi="Times New Roman" w:cs="Times New Roman"/>
        </w:rPr>
        <w:t xml:space="preserve"> of the Afar National Regional State, onion production is particularly vital due to the region's irrigated agriculture system and strategic location for market access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&lt;EndNote&gt;&lt;Cite&gt;&lt;Author&gt;Beji&lt;/Author&gt;&lt;Year&gt;2023&lt;/Year&gt;&lt;RecNum&gt;12&lt;/RecNum&gt;&lt;DisplayText&gt;(Beji, Mulgeta, &amp;amp; Chewaka, 2023)&lt;/DisplayText&gt;&lt;record&gt;&lt;rec-number&gt;12&lt;/rec-number&gt;&lt;foreign-keys&gt;&lt;key app="EN" db-id="x2savr2skzpztmesfatpfzd7x5rp5ze0d2df" timestamp="1736894917"&gt;12&lt;/key&gt;&lt;/foreign-keys&gt;&lt;ref-type name="Journal Article"&gt;17&lt;/ref-type&gt;&lt;contributors&gt;&lt;authors&gt;&lt;author&gt;Beji, Yitages Kuma&lt;/author&gt;&lt;author&gt;Mulgeta, Nardos&lt;/author&gt;&lt;author&gt;Chewaka, Nigusse %J of Applied Mathematics and Statistics&lt;/author&gt;&lt;/authors&gt;&lt;/contributors&gt;&lt;titles&gt;&lt;title&gt;Promotion of Onion Seed Production Technologies for Improving Productivity in Upper and Middle Awash Irrigated Areas&lt;/title&gt;&lt;/titles&gt;&lt;pages&gt;80-92&lt;/pages&gt;&lt;volume&gt;1&lt;/volume&gt;&lt;number&gt;7&lt;/number&gt;&lt;dates&gt;&lt;year&gt;2023&lt;/year&gt;&lt;/dates&gt;&lt;isbn&gt;3033-3644&lt;/isbn&gt;&lt;urls&gt;&lt;/urls&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(Beji, Mulgeta, &amp; Chewaka, 2023)</w:t>
      </w:r>
      <w:r w:rsidRPr="001A2FAD">
        <w:rPr>
          <w:rFonts w:ascii="Times New Roman" w:hAnsi="Times New Roman" w:cs="Times New Roman"/>
        </w:rPr>
        <w:fldChar w:fldCharType="end"/>
      </w:r>
      <w:r w:rsidRPr="001A2FAD">
        <w:rPr>
          <w:rFonts w:ascii="Times New Roman" w:hAnsi="Times New Roman" w:cs="Times New Roman"/>
        </w:rPr>
        <w:t xml:space="preserve">. The Awash River provides a reliable water source, enabling year-round onion cultivation. This region contributes significantly to Ethiopia’s onion supply, with </w:t>
      </w:r>
      <w:r w:rsidR="00264030" w:rsidRPr="001A2FAD">
        <w:rPr>
          <w:rFonts w:ascii="Times New Roman" w:hAnsi="Times New Roman" w:cs="Times New Roman"/>
        </w:rPr>
        <w:t>producers</w:t>
      </w:r>
      <w:r w:rsidRPr="001A2FAD">
        <w:rPr>
          <w:rFonts w:ascii="Times New Roman" w:hAnsi="Times New Roman" w:cs="Times New Roman"/>
        </w:rPr>
        <w:t xml:space="preserve"> in districts like Amibara, Gewane, Haruka, and Gelealo actively engaged in onion farming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&lt;EndNote&gt;&lt;Cite&gt;&lt;Author&gt;Nigussie&lt;/Author&gt;&lt;Year&gt;2015&lt;/Year&gt;&lt;RecNum&gt;13&lt;/RecNum&gt;&lt;DisplayText&gt;(Nigussie et al., 2015b)&lt;/DisplayText&gt;&lt;record&gt;&lt;rec-number&gt;13&lt;/rec-number&gt;&lt;foreign-keys&gt;&lt;key app="EN" db-id="x2savr2skzpztmesfatpfzd7x5rp5ze0d2df" timestamp="1736895175"&gt;13&lt;/key&gt;&lt;/foreign-keys&gt;&lt;ref-type name="Journal Article"&gt;17&lt;/ref-type&gt;&lt;contributors&gt;&lt;authors&gt;&lt;author&gt;Nigussie, Aklilu&lt;/author&gt;&lt;author&gt;Kuma, Yitagesu&lt;/author&gt;&lt;author&gt;Adisu, Abiy&lt;/author&gt;&lt;author&gt;Alemu, Tigist&lt;/author&gt;&lt;author&gt;Desalegn, Kidane %J Journal of Horticulture&lt;/author&gt;&lt;/authors&gt;&lt;/contributors&gt;&lt;titles&gt;&lt;title&gt;Onion production for income generation in small scale irrigation users agropastoral households of Ethiopia&lt;/title&gt;&lt;/titles&gt;&lt;pages&gt;1-5&lt;/pages&gt;&lt;volume&gt;2&lt;/volume&gt;&lt;number&gt;3&lt;/number&gt;&lt;dates&gt;&lt;year&gt;2015&lt;/year&gt;&lt;/dates&gt;&lt;urls&gt;&lt;/urls&gt;&lt;electronic-resource-num&gt;doi:10.4172/2376-0354.1000145&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(Nigussie et al., 2015b)</w:t>
      </w:r>
      <w:r w:rsidRPr="001A2FAD">
        <w:rPr>
          <w:rFonts w:ascii="Times New Roman" w:hAnsi="Times New Roman" w:cs="Times New Roman"/>
        </w:rPr>
        <w:fldChar w:fldCharType="end"/>
      </w:r>
      <w:r w:rsidRPr="001A2FAD">
        <w:rPr>
          <w:rFonts w:ascii="Times New Roman" w:hAnsi="Times New Roman" w:cs="Times New Roman"/>
        </w:rPr>
        <w:t xml:space="preserve">. However, onion production in the </w:t>
      </w:r>
      <w:r w:rsidR="00DF2213" w:rsidRPr="001A2FAD">
        <w:rPr>
          <w:rFonts w:ascii="Times New Roman" w:hAnsi="Times New Roman" w:cs="Times New Roman"/>
        </w:rPr>
        <w:t>Gebiresu Zone</w:t>
      </w:r>
      <w:r w:rsidRPr="001A2FAD">
        <w:rPr>
          <w:rFonts w:ascii="Times New Roman" w:hAnsi="Times New Roman" w:cs="Times New Roman"/>
        </w:rPr>
        <w:t xml:space="preserve"> is constrained by factors such as inefficient management of irrigation practices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&lt;EndNote&gt;&lt;Cite&gt;&lt;Author&gt;Ayele&lt;/Author&gt;&lt;Year&gt;2023&lt;/Year&gt;&lt;RecNum&gt;14&lt;/RecNum&gt;&lt;DisplayText&gt;(Ayele, Asseffa, &amp;amp; Tuhar, 2023)&lt;/DisplayText&gt;&lt;record&gt;&lt;rec-number&gt;14&lt;/rec-number&gt;&lt;foreign-keys&gt;&lt;key app="EN" db-id="x2savr2skzpztmesfatpfzd7x5rp5ze0d2df" timestamp="1736895495"&gt;14&lt;/key&gt;&lt;/foreign-keys&gt;&lt;ref-type name="Journal Article"&gt;17&lt;/ref-type&gt;&lt;contributors&gt;&lt;authors&gt;&lt;author&gt;Ayele, Biruk Getaneh&lt;/author&gt;&lt;author&gt;Asseffa, Shemelies&lt;/author&gt;&lt;author&gt;Tuhar, Abraham Woldemichael %J Water-Energy Nexus&lt;/author&gt;&lt;/authors&gt;&lt;/contributors&gt;&lt;titles&gt;&lt;title&gt;Effect of deficit irrigation under furrow irrigation techniques on garlic (Allium sativum L.) productivity at the central highland of Ethiopia&lt;/title&gt;&lt;/titles&gt;&lt;pages&gt;32-45&lt;/pages&gt;&lt;volume&gt;6&lt;/volume&gt;&lt;dates&gt;&lt;year&gt;2023&lt;/year&gt;&lt;/dates&gt;&lt;isbn&gt;2588-9125&lt;/isbn&gt;&lt;urls&gt;&lt;/urls&gt;&lt;electronic-resource-num&gt;https://doi.org/10.1016/j.wen.2023.07.001&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(Ayele, Asseffa, &amp; Tuhar, 2023)</w:t>
      </w:r>
      <w:r w:rsidRPr="001A2FAD">
        <w:rPr>
          <w:rFonts w:ascii="Times New Roman" w:hAnsi="Times New Roman" w:cs="Times New Roman"/>
        </w:rPr>
        <w:fldChar w:fldCharType="end"/>
      </w:r>
      <w:r w:rsidRPr="001A2FAD">
        <w:rPr>
          <w:rFonts w:ascii="Times New Roman" w:hAnsi="Times New Roman" w:cs="Times New Roman"/>
        </w:rPr>
        <w:t xml:space="preserve">, poor soil fertility management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&lt;EndNote&gt;&lt;Cite&gt;&lt;Author&gt;Nigatu&lt;/Author&gt;&lt;Year&gt;2016&lt;/Year&gt;&lt;RecNum&gt;16&lt;/RecNum&gt;&lt;DisplayText&gt;(Nigatu, 2016)&lt;/DisplayText&gt;&lt;record&gt;&lt;rec-number&gt;16&lt;/rec-number&gt;&lt;foreign-keys&gt;&lt;key app="EN" db-id="x2savr2skzpztmesfatpfzd7x5rp5ze0d2df" timestamp="1736895756"&gt;16&lt;/key&gt;&lt;/foreign-keys&gt;&lt;ref-type name="Thesis"&gt;32&lt;/ref-type&gt;&lt;contributors&gt;&lt;authors&gt;&lt;author&gt;Nigatu, Muluneh&lt;/author&gt;&lt;/authors&gt;&lt;/contributors&gt;&lt;titles&gt;&lt;title&gt;Assessment of onion production practices and effects of N: P2O5: S fertilizers rates on yield and yield components of onion (Allium cepa l.) under irrigated farming system in Dembiya District, Amhara Region, Ethiopia&lt;/title&gt;&lt;/titles&gt;&lt;dates&gt;&lt;year&gt;2016&lt;/year&gt;&lt;/dates&gt;&lt;publisher&gt;Bahir Dar University&lt;/publisher&gt;&lt;urls&gt;&lt;/urls&gt;&lt;/record&gt;&lt;/Cite&gt;&lt;/EndNote&gt;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(Nigatu, 2016)</w:t>
      </w:r>
      <w:r w:rsidRPr="001A2FAD">
        <w:rPr>
          <w:rFonts w:ascii="Times New Roman" w:hAnsi="Times New Roman" w:cs="Times New Roman"/>
        </w:rPr>
        <w:fldChar w:fldCharType="end"/>
      </w:r>
      <w:r w:rsidRPr="001A2FAD">
        <w:rPr>
          <w:rFonts w:ascii="Times New Roman" w:hAnsi="Times New Roman" w:cs="Times New Roman"/>
        </w:rPr>
        <w:t xml:space="preserve">, and high susceptibility to pests and diseases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&lt;EndNote&gt;&lt;Cite&gt;&lt;Author&gt;Etana&lt;/Author&gt;&lt;Year&gt;2019&lt;/Year&gt;&lt;RecNum&gt;17&lt;/RecNum&gt;&lt;DisplayText&gt;(Etana, Aga, Fufa, &amp;amp; Healthcare, 2019)&lt;/DisplayText&gt;&lt;record&gt;&lt;rec-number&gt;17&lt;/rec-number&gt;&lt;foreign-keys&gt;&lt;key app="EN" db-id="x2savr2skzpztmesfatpfzd7x5rp5ze0d2df" timestamp="1736895840"&gt;17&lt;/key&gt;&lt;/foreign-keys&gt;&lt;ref-type name="Journal Article"&gt;17&lt;/ref-type&gt;&lt;contributors&gt;&lt;authors&gt;&lt;author&gt;Etana, Muluneh Bekele&lt;/author&gt;&lt;author&gt;Aga, Mosissa Chewaka&lt;/author&gt;&lt;author&gt;Fufa, Bikila Ollika %J Journal of Biology, Agriculture&lt;/author&gt;&lt;author&gt;Healthcare&lt;/author&gt;&lt;/authors&gt;&lt;/contributors&gt;&lt;titles&gt;&lt;title&gt;Major onion (Allium cepa L.) production challenges in Ethiopia: A review&lt;/title&gt;&lt;/titles&gt;&lt;pages&gt;42-47&lt;/pages&gt;&lt;volume&gt;9&lt;/volume&gt;&lt;number&gt;7&lt;/number&gt;&lt;dates&gt;&lt;year&gt;2019&lt;/year&gt;&lt;/dates&gt;&lt;urls&gt;&lt;/urls&gt;&lt;electronic-resource-num&gt;DOI: 10.7176/JBAH&lt;/electronic-resource-num&gt;&lt;/record&gt;&lt;/Cite&gt;&lt;/EndNote&gt;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(Etana, Aga, Fufa, &amp; Healthcare, 2019)</w:t>
      </w:r>
      <w:r w:rsidRPr="001A2FAD">
        <w:rPr>
          <w:rFonts w:ascii="Times New Roman" w:hAnsi="Times New Roman" w:cs="Times New Roman"/>
        </w:rPr>
        <w:fldChar w:fldCharType="end"/>
      </w:r>
      <w:r w:rsidRPr="001A2FAD">
        <w:rPr>
          <w:rFonts w:ascii="Times New Roman" w:hAnsi="Times New Roman" w:cs="Times New Roman"/>
        </w:rPr>
        <w:t>. Despite these challenges, the region holds immense potential for improving productivity and profitability through targeted interventions in agronomic practices and market development.</w:t>
      </w:r>
    </w:p>
    <w:p w14:paraId="0E5929D8" w14:textId="53157263" w:rsidR="00C61437" w:rsidRPr="00C61437" w:rsidRDefault="00C61437" w:rsidP="00C61437">
      <w:pPr>
        <w:spacing w:line="360" w:lineRule="auto"/>
        <w:jc w:val="both"/>
        <w:rPr>
          <w:rFonts w:ascii="Times New Roman" w:hAnsi="Times New Roman" w:cs="Times New Roman"/>
        </w:rPr>
      </w:pPr>
      <w:r w:rsidRPr="00C61437">
        <w:rPr>
          <w:rFonts w:ascii="Times New Roman" w:hAnsi="Times New Roman" w:cs="Times New Roman"/>
        </w:rPr>
        <w:t xml:space="preserve">Economic analysis of onion production under irrigated conditions is essential for understanding production costs, resource-use efficiency, profitability, and investment attractiveness of onion farming systems </w:t>
      </w:r>
      <w:r>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&lt;EndNote&gt;&lt;Cite&gt;&lt;Author&gt;Zhou&lt;/Author&gt;&lt;Year&gt;2015&lt;/Year&gt;&lt;RecNum&gt;20&lt;/RecNum&gt;&lt;DisplayText&gt;(Zhou, 2015)&lt;/DisplayText&gt;&lt;record&gt;&lt;rec-number&gt;20&lt;/rec-number&gt;&lt;foreign-keys&gt;&lt;key app="EN" db-id="rv2farxaa5rz9serswtvtwa6e9a00x9tv5sf" timestamp="1782123561"&gt;20&lt;/key&gt;&lt;/foreign-keys&gt;&lt;ref-type name="Book Section"&gt;5&lt;/ref-type&gt;&lt;contributors&gt;&lt;authors&gt;&lt;author&gt;Zhou, Yuan&lt;/author&gt;&lt;/authors&gt;&lt;/contributors&gt;&lt;titles&gt;&lt;title&gt;Jain Irrigation Systems Limited: Creating Shared Value for Small Onion Growers&lt;/title&gt;&lt;secondary-title&gt;Knowledge Driven Development&lt;/secondary-title&gt;&lt;/titles&gt;&lt;pages&gt;163-179&lt;/pages&gt;&lt;dates&gt;&lt;year&gt;2015&lt;/year&gt;&lt;/dates&gt;&lt;publisher&gt;Elsevier&lt;/publisher&gt;&lt;urls&gt;&lt;/urls&gt;&lt;/record&gt;&lt;/Cite&gt;&lt;/EndNote&gt;</w:instrText>
      </w:r>
      <w:r>
        <w:rPr>
          <w:rFonts w:ascii="Times New Roman" w:hAnsi="Times New Roman" w:cs="Times New Roman"/>
        </w:rPr>
        <w:fldChar w:fldCharType="separate"/>
      </w:r>
      <w:r w:rsidR="00064C6E">
        <w:rPr>
          <w:rFonts w:ascii="Times New Roman" w:hAnsi="Times New Roman" w:cs="Times New Roman"/>
          <w:noProof/>
        </w:rPr>
        <w:t>(Zhou, 2015)</w:t>
      </w:r>
      <w:r>
        <w:rPr>
          <w:rFonts w:ascii="Times New Roman" w:hAnsi="Times New Roman" w:cs="Times New Roman"/>
        </w:rPr>
        <w:fldChar w:fldCharType="end"/>
      </w:r>
      <w:r w:rsidRPr="00C61437">
        <w:rPr>
          <w:rFonts w:ascii="Times New Roman" w:hAnsi="Times New Roman" w:cs="Times New Roman"/>
        </w:rPr>
        <w:t xml:space="preserve">. Although </w:t>
      </w:r>
      <w:r>
        <w:rPr>
          <w:rFonts w:ascii="Times New Roman" w:hAnsi="Times New Roman" w:cs="Times New Roman"/>
        </w:rPr>
        <w:t>onions are</w:t>
      </w:r>
      <w:r w:rsidRPr="00C61437">
        <w:rPr>
          <w:rFonts w:ascii="Times New Roman" w:hAnsi="Times New Roman" w:cs="Times New Roman"/>
        </w:rPr>
        <w:t xml:space="preserve"> one of the most important high-value vegetable crops in Ethiopia, producers operating under irrigation face numerous challenges that can significantly affect economic returns. Rising costs of key production inputs such as seed, </w:t>
      </w:r>
      <w:r w:rsidRPr="00C61437">
        <w:rPr>
          <w:rFonts w:ascii="Times New Roman" w:hAnsi="Times New Roman" w:cs="Times New Roman"/>
        </w:rPr>
        <w:lastRenderedPageBreak/>
        <w:t>fertilizer, labor, irrigation water, fuel, and agrochemicals increase production expenses and may reduce profitability. In addition, market-related constraints, including price fluctuations, weak market linkages, limited market information, postharvest losses, and inadequate storage facilities, often expose producers to substantial income uncertainty. Institutional challenges such as limited access to agricultural credit, insufficient extension support, inadequate irrigation infrastructure, and weak producer organizations further constrain production efficiency and commercialization. These interrelated economic, market, and institutional factors can undermine the sustainability and competitiveness of onion production despite the favorable agroecological conditions and growing market demand. Consequently, a comprehensive economic assessment is needed to quantify production costs and returns, evaluate profitability indicators, and identify the key constraints affecting the economic performance of onion farming under irrigated conditions. Therefore, this study was conducted to evaluate the economic performance of onion production under irrigation in the Gebiresu Zone of the Afar National Regional State, Ethiopia, and to generate evidence-based recommendations for improving producer profitability, resource-use efficiency, and market competitiveness.</w:t>
      </w:r>
    </w:p>
    <w:p w14:paraId="4707D117" w14:textId="77777777" w:rsidR="00C5391D" w:rsidRPr="001A2FAD" w:rsidRDefault="00C5391D" w:rsidP="001A2FAD">
      <w:pPr>
        <w:pStyle w:val="Heading1"/>
        <w:spacing w:line="360" w:lineRule="auto"/>
        <w:jc w:val="both"/>
        <w:rPr>
          <w:rFonts w:cs="Times New Roman"/>
          <w:sz w:val="24"/>
          <w:szCs w:val="24"/>
        </w:rPr>
      </w:pPr>
      <w:r w:rsidRPr="001A2FAD">
        <w:rPr>
          <w:rFonts w:cs="Times New Roman"/>
          <w:sz w:val="24"/>
          <w:szCs w:val="24"/>
        </w:rPr>
        <w:t>MATERIAL AND METHODS</w:t>
      </w:r>
    </w:p>
    <w:p w14:paraId="11ED292A" w14:textId="77777777" w:rsidR="00C5391D" w:rsidRPr="001A2FAD" w:rsidRDefault="00C5391D" w:rsidP="0030271E">
      <w:pPr>
        <w:pStyle w:val="Heading2"/>
        <w:numPr>
          <w:ilvl w:val="1"/>
          <w:numId w:val="1"/>
        </w:numPr>
        <w:jc w:val="both"/>
        <w:rPr>
          <w:rFonts w:cs="Times New Roman"/>
          <w:szCs w:val="24"/>
        </w:rPr>
      </w:pPr>
      <w:r w:rsidRPr="001A2FAD">
        <w:rPr>
          <w:rFonts w:cs="Times New Roman"/>
          <w:szCs w:val="24"/>
        </w:rPr>
        <w:t>Study Area</w:t>
      </w:r>
    </w:p>
    <w:p w14:paraId="1EA5D29E" w14:textId="68492B9F" w:rsidR="0085041B"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The study was conducted during the 2024/25 cropping season in </w:t>
      </w:r>
      <w:r w:rsidR="0085041B" w:rsidRPr="001A2FAD">
        <w:rPr>
          <w:rFonts w:ascii="Times New Roman" w:hAnsi="Times New Roman" w:cs="Times New Roman"/>
        </w:rPr>
        <w:t xml:space="preserve">four major onion-producing districts of the Gebiresu Zone, Afar National Regional State, Ethiopia, </w:t>
      </w:r>
      <w:r w:rsidR="00E06418" w:rsidRPr="001A2FAD">
        <w:rPr>
          <w:rFonts w:ascii="Times New Roman" w:hAnsi="Times New Roman" w:cs="Times New Roman"/>
        </w:rPr>
        <w:t>namely Amibara</w:t>
      </w:r>
      <w:r w:rsidRPr="001A2FAD">
        <w:rPr>
          <w:rFonts w:ascii="Times New Roman" w:hAnsi="Times New Roman" w:cs="Times New Roman"/>
        </w:rPr>
        <w:t xml:space="preserve">, Gewane, </w:t>
      </w:r>
      <w:r w:rsidR="00DF2213" w:rsidRPr="001A2FAD">
        <w:rPr>
          <w:rFonts w:ascii="Times New Roman" w:hAnsi="Times New Roman" w:cs="Times New Roman"/>
        </w:rPr>
        <w:t xml:space="preserve">Haruka, </w:t>
      </w:r>
      <w:r w:rsidRPr="001A2FAD">
        <w:rPr>
          <w:rFonts w:ascii="Times New Roman" w:hAnsi="Times New Roman" w:cs="Times New Roman"/>
        </w:rPr>
        <w:t xml:space="preserve">and Gelealo </w:t>
      </w:r>
      <w:r w:rsidR="0085041B" w:rsidRPr="001A2FAD">
        <w:rPr>
          <w:rFonts w:ascii="Times New Roman" w:hAnsi="Times New Roman" w:cs="Times New Roman"/>
        </w:rPr>
        <w:t xml:space="preserve">districts. The zone is located within the Middle Awash River Basin and is characterized by an arid to semi-arid climate with extensive irrigation-based agricultural production systems. The availability of irrigation water from the Awash River enables year-round cultivation of high-value vegetable crops, particularly onion. </w:t>
      </w:r>
      <w:r w:rsidRPr="001A2FAD">
        <w:rPr>
          <w:rFonts w:ascii="Times New Roman" w:hAnsi="Times New Roman" w:cs="Times New Roman"/>
        </w:rPr>
        <w:t>The</w:t>
      </w:r>
      <w:r w:rsidR="0085041B" w:rsidRPr="001A2FAD">
        <w:rPr>
          <w:rFonts w:ascii="Times New Roman" w:hAnsi="Times New Roman" w:cs="Times New Roman"/>
        </w:rPr>
        <w:t>se</w:t>
      </w:r>
      <w:r w:rsidRPr="001A2FAD">
        <w:rPr>
          <w:rFonts w:ascii="Times New Roman" w:hAnsi="Times New Roman" w:cs="Times New Roman"/>
        </w:rPr>
        <w:t xml:space="preserve"> districts were </w:t>
      </w:r>
      <w:r w:rsidR="0085041B" w:rsidRPr="001A2FAD">
        <w:rPr>
          <w:rFonts w:ascii="Times New Roman" w:hAnsi="Times New Roman" w:cs="Times New Roman"/>
        </w:rPr>
        <w:t xml:space="preserve">purposively </w:t>
      </w:r>
      <w:r w:rsidRPr="001A2FAD">
        <w:rPr>
          <w:rFonts w:ascii="Times New Roman" w:hAnsi="Times New Roman" w:cs="Times New Roman"/>
        </w:rPr>
        <w:t xml:space="preserve">selected </w:t>
      </w:r>
      <w:r w:rsidR="0085041B" w:rsidRPr="001A2FAD">
        <w:rPr>
          <w:rFonts w:ascii="Times New Roman" w:hAnsi="Times New Roman" w:cs="Times New Roman"/>
        </w:rPr>
        <w:t>because of their substantial contribution to regional onion production, high concentration of irrigated agriculture, and accessibility for data collection.</w:t>
      </w:r>
    </w:p>
    <w:p w14:paraId="38680BA9" w14:textId="6457D341" w:rsidR="00B01947" w:rsidRPr="001A2FAD" w:rsidRDefault="00B01947" w:rsidP="0030271E">
      <w:pPr>
        <w:pStyle w:val="Heading2"/>
        <w:numPr>
          <w:ilvl w:val="1"/>
          <w:numId w:val="1"/>
        </w:numPr>
        <w:jc w:val="both"/>
        <w:rPr>
          <w:rFonts w:cs="Times New Roman"/>
          <w:szCs w:val="24"/>
        </w:rPr>
      </w:pPr>
      <w:r w:rsidRPr="001A2FAD">
        <w:rPr>
          <w:rFonts w:cs="Times New Roman"/>
          <w:szCs w:val="24"/>
        </w:rPr>
        <w:t xml:space="preserve"> Research Design</w:t>
      </w:r>
    </w:p>
    <w:p w14:paraId="0A9436BA" w14:textId="77777777"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 xml:space="preserve">A cross-sectional survey research design was employed to assess the economic feasibility of onion production under irrigated conditions. The study combined quantitative and qualitative approaches </w:t>
      </w:r>
      <w:r w:rsidRPr="001A2FAD">
        <w:rPr>
          <w:rFonts w:ascii="Times New Roman" w:hAnsi="Times New Roman" w:cs="Times New Roman"/>
        </w:rPr>
        <w:lastRenderedPageBreak/>
        <w:t>to collect information on production costs, returns, profitability indicators, and production and marketing practices of onion producers.</w:t>
      </w:r>
    </w:p>
    <w:p w14:paraId="7304395C" w14:textId="6D741E68" w:rsidR="00B01947" w:rsidRPr="001A2FAD" w:rsidRDefault="00B01947" w:rsidP="0030271E">
      <w:pPr>
        <w:pStyle w:val="Heading2"/>
        <w:numPr>
          <w:ilvl w:val="1"/>
          <w:numId w:val="1"/>
        </w:numPr>
        <w:jc w:val="both"/>
        <w:rPr>
          <w:rFonts w:cs="Times New Roman"/>
          <w:szCs w:val="24"/>
        </w:rPr>
      </w:pPr>
      <w:r w:rsidRPr="001A2FAD">
        <w:rPr>
          <w:rFonts w:cs="Times New Roman"/>
          <w:szCs w:val="24"/>
        </w:rPr>
        <w:t>Sampling Design and Sample Size Determination</w:t>
      </w:r>
    </w:p>
    <w:p w14:paraId="04197CAE" w14:textId="3854CBAB" w:rsidR="00B01947" w:rsidRPr="006112E4" w:rsidRDefault="00B01947" w:rsidP="0030271E">
      <w:pPr>
        <w:pStyle w:val="Heading3"/>
        <w:numPr>
          <w:ilvl w:val="2"/>
          <w:numId w:val="1"/>
        </w:numPr>
      </w:pPr>
      <w:r w:rsidRPr="006112E4">
        <w:t>Sampling Frame and Sampling Unit</w:t>
      </w:r>
    </w:p>
    <w:p w14:paraId="60D0D53C" w14:textId="77777777"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The sampling frame consisted of all onion-producing households registered by the respective District Offices of Agriculture in Amibara, Gewane, Haruka, and Gelealo districts during the 2024/25 production season. The sampling unit was an individual onion-producing household.</w:t>
      </w:r>
    </w:p>
    <w:p w14:paraId="46913736" w14:textId="77777777" w:rsidR="00B01947" w:rsidRPr="006112E4" w:rsidRDefault="00B01947" w:rsidP="0030271E">
      <w:pPr>
        <w:pStyle w:val="Heading3"/>
        <w:numPr>
          <w:ilvl w:val="2"/>
          <w:numId w:val="1"/>
        </w:numPr>
      </w:pPr>
      <w:r w:rsidRPr="006112E4">
        <w:t>Sampling Procedure</w:t>
      </w:r>
    </w:p>
    <w:p w14:paraId="4BFFF958" w14:textId="77777777"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A multistage sampling technique was employed. In the first stage, four districts (Amibara, Gewane, Haruka, and Gelealo) were purposively selected due to their importance in irrigated onion production. In the second stage, major onion-producing kebeles were identified in consultation with district agricultural experts. In the third stage, onion-producing households were selected using simple random sampling from the producer lists obtained from the respective district agricultural offices.</w:t>
      </w:r>
    </w:p>
    <w:p w14:paraId="360D7FEF" w14:textId="77777777" w:rsidR="00B01947" w:rsidRPr="006112E4" w:rsidRDefault="00B01947" w:rsidP="0030271E">
      <w:pPr>
        <w:pStyle w:val="Heading3"/>
        <w:numPr>
          <w:ilvl w:val="2"/>
          <w:numId w:val="1"/>
        </w:numPr>
      </w:pPr>
      <w:r w:rsidRPr="006112E4">
        <w:t>Sample Size Determination</w:t>
      </w:r>
    </w:p>
    <w:p w14:paraId="3EF1BAEE" w14:textId="13CC0608" w:rsidR="00B01947" w:rsidRDefault="00B01947" w:rsidP="001A2FAD">
      <w:pPr>
        <w:spacing w:line="360" w:lineRule="auto"/>
        <w:jc w:val="both"/>
        <w:rPr>
          <w:rFonts w:ascii="Times New Roman" w:hAnsi="Times New Roman" w:cs="Times New Roman"/>
        </w:rPr>
      </w:pPr>
      <w:r w:rsidRPr="001A2FAD">
        <w:rPr>
          <w:rFonts w:ascii="Times New Roman" w:hAnsi="Times New Roman" w:cs="Times New Roman"/>
        </w:rPr>
        <w:t xml:space="preserve">The sample size was determined using </w:t>
      </w:r>
      <w:r w:rsidR="00326F81" w:rsidRPr="00326F81">
        <w:rPr>
          <w:rFonts w:ascii="Times New Roman" w:hAnsi="Times New Roman" w:cs="Times New Roman"/>
        </w:rPr>
        <w:t>the</w:t>
      </w:r>
      <w:r w:rsidRPr="001A2FAD">
        <w:rPr>
          <w:rFonts w:ascii="Times New Roman" w:hAnsi="Times New Roman" w:cs="Times New Roman"/>
        </w:rPr>
        <w:t xml:space="preserve"> formula: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773C4" w14:paraId="4227F23B" w14:textId="77777777" w:rsidTr="00224C0C">
        <w:trPr>
          <w:trHeight w:val="710"/>
        </w:trPr>
        <w:tc>
          <w:tcPr>
            <w:tcW w:w="4675" w:type="dxa"/>
          </w:tcPr>
          <w:p w14:paraId="656E6EE6" w14:textId="6CFB22F8" w:rsidR="009773C4" w:rsidRPr="009773C4" w:rsidRDefault="009773C4" w:rsidP="009773C4">
            <w:pPr>
              <w:spacing w:line="360" w:lineRule="auto"/>
              <w:rPr>
                <w:rFonts w:ascii="Times New Roman" w:hAnsi="Times New Roman" w:cs="Times New Roman"/>
              </w:rPr>
            </w:pPr>
            <m:oMathPara>
              <m:oMathParaPr>
                <m:jc m:val="left"/>
              </m:oMathParaPr>
              <m:oMath>
                <m:r>
                  <m:rPr>
                    <m:sty m:val="p"/>
                  </m:rPr>
                  <w:rPr>
                    <w:rFonts w:ascii="Cambria Math" w:hAnsi="Cambria Math" w:cs="Times New Roman"/>
                  </w:rPr>
                  <m:t>n=</m:t>
                </m:r>
                <m:f>
                  <m:fPr>
                    <m:ctrlPr>
                      <w:rPr>
                        <w:rFonts w:ascii="Cambria Math" w:hAnsi="Cambria Math" w:cs="Times New Roman"/>
                      </w:rPr>
                    </m:ctrlPr>
                  </m:fPr>
                  <m:num>
                    <m:r>
                      <m:rPr>
                        <m:sty m:val="p"/>
                      </m:rPr>
                      <w:rPr>
                        <w:rFonts w:ascii="Cambria Math" w:hAnsi="Cambria Math" w:cs="Times New Roman"/>
                      </w:rPr>
                      <m:t>N​​</m:t>
                    </m:r>
                  </m:num>
                  <m:den>
                    <m:r>
                      <m:rPr>
                        <m:sty m:val="p"/>
                      </m:rPr>
                      <w:rPr>
                        <w:rFonts w:ascii="Cambria Math" w:hAnsi="Cambria Math" w:cs="Times New Roman"/>
                      </w:rPr>
                      <m:t>[1+</m:t>
                    </m:r>
                    <m:r>
                      <w:rPr>
                        <w:rFonts w:ascii="Cambria Math" w:hAnsi="Cambria Math" w:cs="Times New Roman"/>
                      </w:rPr>
                      <m:t>N</m:t>
                    </m:r>
                    <m:r>
                      <m:rPr>
                        <m:sty m:val="p"/>
                      </m:rPr>
                      <w:rPr>
                        <w:rFonts w:ascii="Cambria Math" w:hAnsi="Cambria Math" w:cs="Times New Roman"/>
                      </w:rPr>
                      <m:t>(e²)]</m:t>
                    </m:r>
                  </m:den>
                </m:f>
              </m:oMath>
            </m:oMathPara>
          </w:p>
        </w:tc>
        <w:tc>
          <w:tcPr>
            <w:tcW w:w="4675" w:type="dxa"/>
          </w:tcPr>
          <w:p w14:paraId="58A1618B" w14:textId="20DFFA50" w:rsidR="009773C4" w:rsidRDefault="009773C4" w:rsidP="009773C4">
            <w:pPr>
              <w:spacing w:line="360" w:lineRule="auto"/>
              <w:jc w:val="right"/>
              <w:rPr>
                <w:rFonts w:ascii="Times New Roman" w:hAnsi="Times New Roman" w:cs="Times New Roman"/>
              </w:rPr>
            </w:pPr>
            <w:r w:rsidRPr="001A2FAD">
              <w:rPr>
                <w:rFonts w:ascii="Times New Roman" w:hAnsi="Times New Roman" w:cs="Times New Roman"/>
              </w:rPr>
              <w:t>(1)</w:t>
            </w:r>
          </w:p>
        </w:tc>
      </w:tr>
    </w:tbl>
    <w:p w14:paraId="599820AF" w14:textId="5585A286"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where:</w:t>
      </w:r>
    </w:p>
    <w:p w14:paraId="3C2ABD3B" w14:textId="77777777"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n = required sample size</w:t>
      </w:r>
    </w:p>
    <w:p w14:paraId="4EAA4A3D" w14:textId="77777777"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N = total number of onion-producing households in the study area</w:t>
      </w:r>
    </w:p>
    <w:p w14:paraId="75EEDCC6" w14:textId="77777777"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e = level of precision (0.05)</w:t>
      </w:r>
    </w:p>
    <w:p w14:paraId="6A6CC49E" w14:textId="5CE22128" w:rsidR="00B01947" w:rsidRPr="001A2FAD" w:rsidRDefault="00B01947" w:rsidP="006112E4">
      <w:pPr>
        <w:spacing w:line="360" w:lineRule="auto"/>
        <w:jc w:val="both"/>
        <w:rPr>
          <w:rFonts w:ascii="Times New Roman" w:hAnsi="Times New Roman" w:cs="Times New Roman"/>
        </w:rPr>
      </w:pPr>
      <w:r w:rsidRPr="001A2FAD">
        <w:rPr>
          <w:rFonts w:ascii="Times New Roman" w:hAnsi="Times New Roman" w:cs="Times New Roman"/>
        </w:rPr>
        <w:t>Based on the sampling frame and available resources, a total sample of 200 onion-producing households was selected. Fifty households were randomly selected from each of the four districts, resulting in a total sample size of 200 respondents.</w:t>
      </w:r>
      <w:r w:rsidR="006112E4">
        <w:rPr>
          <w:rFonts w:ascii="Times New Roman" w:hAnsi="Times New Roman" w:cs="Times New Roman"/>
        </w:rPr>
        <w:t xml:space="preserve"> </w:t>
      </w:r>
      <w:r w:rsidRPr="001A2FAD">
        <w:rPr>
          <w:rFonts w:ascii="Times New Roman" w:hAnsi="Times New Roman" w:cs="Times New Roman"/>
        </w:rPr>
        <w:t>The sample distribution was as follows:</w:t>
      </w:r>
      <w:r w:rsidR="006112E4">
        <w:rPr>
          <w:rFonts w:ascii="Times New Roman" w:hAnsi="Times New Roman" w:cs="Times New Roman"/>
        </w:rPr>
        <w:t xml:space="preserve"> </w:t>
      </w:r>
      <w:r w:rsidRPr="001A2FAD">
        <w:rPr>
          <w:rFonts w:ascii="Times New Roman" w:hAnsi="Times New Roman" w:cs="Times New Roman"/>
        </w:rPr>
        <w:t>Amibara District = 50 households</w:t>
      </w:r>
      <w:r w:rsidR="006112E4">
        <w:rPr>
          <w:rFonts w:ascii="Times New Roman" w:hAnsi="Times New Roman" w:cs="Times New Roman"/>
        </w:rPr>
        <w:t xml:space="preserve">, </w:t>
      </w:r>
      <w:r w:rsidRPr="001A2FAD">
        <w:rPr>
          <w:rFonts w:ascii="Times New Roman" w:hAnsi="Times New Roman" w:cs="Times New Roman"/>
        </w:rPr>
        <w:t>Gewane District = 50 households</w:t>
      </w:r>
      <w:r w:rsidR="006112E4">
        <w:rPr>
          <w:rFonts w:ascii="Times New Roman" w:hAnsi="Times New Roman" w:cs="Times New Roman"/>
        </w:rPr>
        <w:t xml:space="preserve">, </w:t>
      </w:r>
      <w:r w:rsidRPr="001A2FAD">
        <w:rPr>
          <w:rFonts w:ascii="Times New Roman" w:hAnsi="Times New Roman" w:cs="Times New Roman"/>
        </w:rPr>
        <w:t>Haruka District = 50 households</w:t>
      </w:r>
      <w:r w:rsidR="006112E4">
        <w:rPr>
          <w:rFonts w:ascii="Times New Roman" w:hAnsi="Times New Roman" w:cs="Times New Roman"/>
        </w:rPr>
        <w:t xml:space="preserve">, and </w:t>
      </w:r>
      <w:r w:rsidRPr="001A2FAD">
        <w:rPr>
          <w:rFonts w:ascii="Times New Roman" w:hAnsi="Times New Roman" w:cs="Times New Roman"/>
        </w:rPr>
        <w:t>Gelealo District = 50 households</w:t>
      </w:r>
      <w:r w:rsidR="006112E4">
        <w:rPr>
          <w:rFonts w:ascii="Times New Roman" w:hAnsi="Times New Roman" w:cs="Times New Roman"/>
        </w:rPr>
        <w:t xml:space="preserve"> a t</w:t>
      </w:r>
      <w:r w:rsidRPr="001A2FAD">
        <w:rPr>
          <w:rFonts w:ascii="Times New Roman" w:hAnsi="Times New Roman" w:cs="Times New Roman"/>
        </w:rPr>
        <w:t>otal = 200 households</w:t>
      </w:r>
      <w:r w:rsidR="006112E4">
        <w:rPr>
          <w:rFonts w:ascii="Times New Roman" w:hAnsi="Times New Roman" w:cs="Times New Roman"/>
        </w:rPr>
        <w:t>.</w:t>
      </w:r>
    </w:p>
    <w:p w14:paraId="69BFCB45" w14:textId="7DBB12BC" w:rsidR="00B01947" w:rsidRPr="001A2FAD" w:rsidRDefault="00B01947" w:rsidP="0030271E">
      <w:pPr>
        <w:pStyle w:val="Heading2"/>
        <w:numPr>
          <w:ilvl w:val="1"/>
          <w:numId w:val="1"/>
        </w:numPr>
        <w:jc w:val="both"/>
        <w:rPr>
          <w:rFonts w:cs="Times New Roman"/>
          <w:szCs w:val="24"/>
        </w:rPr>
      </w:pPr>
      <w:r w:rsidRPr="001A2FAD">
        <w:rPr>
          <w:rFonts w:cs="Times New Roman"/>
          <w:szCs w:val="24"/>
        </w:rPr>
        <w:lastRenderedPageBreak/>
        <w:t xml:space="preserve"> Data Collection Methods</w:t>
      </w:r>
    </w:p>
    <w:p w14:paraId="7DE6178A" w14:textId="5A05300F" w:rsidR="00B01947" w:rsidRPr="001A2FAD" w:rsidRDefault="00B01947" w:rsidP="0030271E">
      <w:pPr>
        <w:pStyle w:val="Heading3"/>
        <w:numPr>
          <w:ilvl w:val="2"/>
          <w:numId w:val="1"/>
        </w:numPr>
      </w:pPr>
      <w:r w:rsidRPr="001A2FAD">
        <w:t>Types and Sources of Data</w:t>
      </w:r>
    </w:p>
    <w:p w14:paraId="44E832FD" w14:textId="35645B7E" w:rsidR="00B01947" w:rsidRPr="001A2FAD" w:rsidRDefault="00B01947" w:rsidP="00183BF6">
      <w:pPr>
        <w:spacing w:line="360" w:lineRule="auto"/>
        <w:jc w:val="both"/>
        <w:rPr>
          <w:rFonts w:ascii="Times New Roman" w:hAnsi="Times New Roman" w:cs="Times New Roman"/>
        </w:rPr>
      </w:pPr>
      <w:r w:rsidRPr="001A2FAD">
        <w:rPr>
          <w:rFonts w:ascii="Times New Roman" w:hAnsi="Times New Roman" w:cs="Times New Roman"/>
        </w:rPr>
        <w:t>Both primary and secondary data were used in this study.</w:t>
      </w:r>
      <w:r w:rsidR="00183BF6">
        <w:rPr>
          <w:rFonts w:ascii="Times New Roman" w:hAnsi="Times New Roman" w:cs="Times New Roman"/>
        </w:rPr>
        <w:t xml:space="preserve"> </w:t>
      </w:r>
      <w:r w:rsidRPr="001A2FAD">
        <w:rPr>
          <w:rFonts w:ascii="Times New Roman" w:hAnsi="Times New Roman" w:cs="Times New Roman"/>
        </w:rPr>
        <w:t>Primary data were collected from sampled onion-producing households through structured questionnaires and face-to-face interviews. Information collected included:</w:t>
      </w:r>
      <w:r w:rsidR="00183BF6">
        <w:rPr>
          <w:rFonts w:ascii="Times New Roman" w:hAnsi="Times New Roman" w:cs="Times New Roman"/>
        </w:rPr>
        <w:t xml:space="preserve"> </w:t>
      </w:r>
      <w:r w:rsidRPr="001A2FAD">
        <w:rPr>
          <w:rFonts w:ascii="Times New Roman" w:hAnsi="Times New Roman" w:cs="Times New Roman"/>
        </w:rPr>
        <w:t>Demographic characteristics</w:t>
      </w:r>
      <w:r w:rsidR="00183BF6">
        <w:rPr>
          <w:rFonts w:ascii="Times New Roman" w:hAnsi="Times New Roman" w:cs="Times New Roman"/>
        </w:rPr>
        <w:t xml:space="preserve">, </w:t>
      </w:r>
      <w:r w:rsidRPr="001A2FAD">
        <w:rPr>
          <w:rFonts w:ascii="Times New Roman" w:hAnsi="Times New Roman" w:cs="Times New Roman"/>
        </w:rPr>
        <w:t>Farm size and land allocation</w:t>
      </w:r>
      <w:r w:rsidR="00183BF6">
        <w:rPr>
          <w:rFonts w:ascii="Times New Roman" w:hAnsi="Times New Roman" w:cs="Times New Roman"/>
        </w:rPr>
        <w:t xml:space="preserve">, </w:t>
      </w:r>
      <w:r w:rsidRPr="001A2FAD">
        <w:rPr>
          <w:rFonts w:ascii="Times New Roman" w:hAnsi="Times New Roman" w:cs="Times New Roman"/>
        </w:rPr>
        <w:t>Production practices</w:t>
      </w:r>
      <w:r w:rsidR="00183BF6">
        <w:rPr>
          <w:rFonts w:ascii="Times New Roman" w:hAnsi="Times New Roman" w:cs="Times New Roman"/>
        </w:rPr>
        <w:t xml:space="preserve">, </w:t>
      </w:r>
      <w:r w:rsidRPr="001A2FAD">
        <w:rPr>
          <w:rFonts w:ascii="Times New Roman" w:hAnsi="Times New Roman" w:cs="Times New Roman"/>
        </w:rPr>
        <w:t>Input utilization</w:t>
      </w:r>
      <w:r w:rsidR="00183BF6">
        <w:rPr>
          <w:rFonts w:ascii="Times New Roman" w:hAnsi="Times New Roman" w:cs="Times New Roman"/>
        </w:rPr>
        <w:t xml:space="preserve">, </w:t>
      </w:r>
      <w:r w:rsidRPr="001A2FAD">
        <w:rPr>
          <w:rFonts w:ascii="Times New Roman" w:hAnsi="Times New Roman" w:cs="Times New Roman"/>
        </w:rPr>
        <w:t>Labor use</w:t>
      </w:r>
      <w:r w:rsidR="00183BF6">
        <w:rPr>
          <w:rFonts w:ascii="Times New Roman" w:hAnsi="Times New Roman" w:cs="Times New Roman"/>
        </w:rPr>
        <w:t xml:space="preserve">, </w:t>
      </w:r>
      <w:r w:rsidRPr="001A2FAD">
        <w:rPr>
          <w:rFonts w:ascii="Times New Roman" w:hAnsi="Times New Roman" w:cs="Times New Roman"/>
        </w:rPr>
        <w:t>Irrigation management</w:t>
      </w:r>
      <w:r w:rsidR="00183BF6">
        <w:rPr>
          <w:rFonts w:ascii="Times New Roman" w:hAnsi="Times New Roman" w:cs="Times New Roman"/>
        </w:rPr>
        <w:t xml:space="preserve">, </w:t>
      </w:r>
      <w:r w:rsidRPr="001A2FAD">
        <w:rPr>
          <w:rFonts w:ascii="Times New Roman" w:hAnsi="Times New Roman" w:cs="Times New Roman"/>
        </w:rPr>
        <w:t>Production costs</w:t>
      </w:r>
      <w:r w:rsidR="00183BF6">
        <w:rPr>
          <w:rFonts w:ascii="Times New Roman" w:hAnsi="Times New Roman" w:cs="Times New Roman"/>
        </w:rPr>
        <w:t xml:space="preserve">, </w:t>
      </w:r>
      <w:r w:rsidRPr="001A2FAD">
        <w:rPr>
          <w:rFonts w:ascii="Times New Roman" w:hAnsi="Times New Roman" w:cs="Times New Roman"/>
        </w:rPr>
        <w:t>Marketing costs</w:t>
      </w:r>
      <w:r w:rsidR="00183BF6">
        <w:rPr>
          <w:rFonts w:ascii="Times New Roman" w:hAnsi="Times New Roman" w:cs="Times New Roman"/>
        </w:rPr>
        <w:t xml:space="preserve">, and </w:t>
      </w:r>
      <w:r w:rsidRPr="001A2FAD">
        <w:rPr>
          <w:rFonts w:ascii="Times New Roman" w:hAnsi="Times New Roman" w:cs="Times New Roman"/>
        </w:rPr>
        <w:t>Yield and revenue information</w:t>
      </w:r>
      <w:r w:rsidR="00183BF6">
        <w:rPr>
          <w:rFonts w:ascii="Times New Roman" w:hAnsi="Times New Roman" w:cs="Times New Roman"/>
        </w:rPr>
        <w:t>.</w:t>
      </w:r>
    </w:p>
    <w:p w14:paraId="7E60D4FF" w14:textId="147A2865" w:rsidR="00B01947" w:rsidRPr="001A2FAD" w:rsidRDefault="00B01947" w:rsidP="00183BF6">
      <w:pPr>
        <w:spacing w:line="360" w:lineRule="auto"/>
        <w:jc w:val="both"/>
        <w:rPr>
          <w:rFonts w:ascii="Times New Roman" w:hAnsi="Times New Roman" w:cs="Times New Roman"/>
        </w:rPr>
      </w:pPr>
      <w:r w:rsidRPr="001A2FAD">
        <w:rPr>
          <w:rFonts w:ascii="Times New Roman" w:hAnsi="Times New Roman" w:cs="Times New Roman"/>
        </w:rPr>
        <w:t>Secondary data were obtained from:</w:t>
      </w:r>
      <w:r w:rsidR="00183BF6">
        <w:rPr>
          <w:rFonts w:ascii="Times New Roman" w:hAnsi="Times New Roman" w:cs="Times New Roman"/>
        </w:rPr>
        <w:t xml:space="preserve"> </w:t>
      </w:r>
      <w:r w:rsidRPr="001A2FAD">
        <w:rPr>
          <w:rFonts w:ascii="Times New Roman" w:hAnsi="Times New Roman" w:cs="Times New Roman"/>
        </w:rPr>
        <w:t xml:space="preserve">District Offices of </w:t>
      </w:r>
      <w:r w:rsidR="00183BF6">
        <w:rPr>
          <w:rFonts w:ascii="Times New Roman" w:hAnsi="Times New Roman" w:cs="Times New Roman"/>
        </w:rPr>
        <w:t xml:space="preserve">Pastoral and Agro-pastoral, </w:t>
      </w:r>
      <w:r w:rsidR="00183BF6" w:rsidRPr="001A2FAD">
        <w:rPr>
          <w:rFonts w:ascii="Times New Roman" w:hAnsi="Times New Roman" w:cs="Times New Roman"/>
        </w:rPr>
        <w:t>published</w:t>
      </w:r>
      <w:r w:rsidRPr="001A2FAD">
        <w:rPr>
          <w:rFonts w:ascii="Times New Roman" w:hAnsi="Times New Roman" w:cs="Times New Roman"/>
        </w:rPr>
        <w:t xml:space="preserve"> reports</w:t>
      </w:r>
      <w:r w:rsidR="00183BF6">
        <w:rPr>
          <w:rFonts w:ascii="Times New Roman" w:hAnsi="Times New Roman" w:cs="Times New Roman"/>
        </w:rPr>
        <w:t xml:space="preserve">, </w:t>
      </w:r>
      <w:r w:rsidRPr="001A2FAD">
        <w:rPr>
          <w:rFonts w:ascii="Times New Roman" w:hAnsi="Times New Roman" w:cs="Times New Roman"/>
        </w:rPr>
        <w:t>Journal articles</w:t>
      </w:r>
      <w:r w:rsidR="00183BF6">
        <w:rPr>
          <w:rFonts w:ascii="Times New Roman" w:hAnsi="Times New Roman" w:cs="Times New Roman"/>
        </w:rPr>
        <w:t xml:space="preserve">, and </w:t>
      </w:r>
      <w:r w:rsidRPr="001A2FAD">
        <w:rPr>
          <w:rFonts w:ascii="Times New Roman" w:hAnsi="Times New Roman" w:cs="Times New Roman"/>
        </w:rPr>
        <w:t>Relevant government documents</w:t>
      </w:r>
      <w:r w:rsidR="00183BF6">
        <w:rPr>
          <w:rFonts w:ascii="Times New Roman" w:hAnsi="Times New Roman" w:cs="Times New Roman"/>
        </w:rPr>
        <w:t>.</w:t>
      </w:r>
    </w:p>
    <w:p w14:paraId="63D8458D" w14:textId="77777777" w:rsidR="00B01947" w:rsidRPr="001A2FAD" w:rsidRDefault="00B01947" w:rsidP="0030271E">
      <w:pPr>
        <w:pStyle w:val="Heading3"/>
        <w:numPr>
          <w:ilvl w:val="2"/>
          <w:numId w:val="1"/>
        </w:numPr>
        <w:rPr>
          <w:rFonts w:cs="Times New Roman"/>
          <w:szCs w:val="24"/>
        </w:rPr>
      </w:pPr>
      <w:r w:rsidRPr="00183BF6">
        <w:t>Data Collection Instruments</w:t>
      </w:r>
    </w:p>
    <w:p w14:paraId="7AF1296E" w14:textId="77777777"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A structured questionnaire was designed, pre-tested, and administered through face-to-face interviews with sampled onion producers. The questionnaire was developed to obtain detailed information on socioeconomic characteristics, production costs, output levels, marketing activities, and profitability indicators.</w:t>
      </w:r>
    </w:p>
    <w:p w14:paraId="42C266D7" w14:textId="2C9427B4" w:rsidR="00B01947" w:rsidRPr="00A06315" w:rsidRDefault="00B01947" w:rsidP="0030271E">
      <w:pPr>
        <w:pStyle w:val="Heading2"/>
        <w:numPr>
          <w:ilvl w:val="1"/>
          <w:numId w:val="1"/>
        </w:numPr>
        <w:jc w:val="both"/>
        <w:rPr>
          <w:rFonts w:cs="Times New Roman"/>
          <w:szCs w:val="24"/>
        </w:rPr>
      </w:pPr>
      <w:r w:rsidRPr="00A06315">
        <w:rPr>
          <w:rFonts w:cs="Times New Roman"/>
          <w:szCs w:val="24"/>
        </w:rPr>
        <w:t>Data Analysis Methods</w:t>
      </w:r>
    </w:p>
    <w:p w14:paraId="36F019BA" w14:textId="77777777"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The collected data were coded, entered, and analyzed using Microsoft Excel and Statistical Package for Social Sciences (SPSS) software.</w:t>
      </w:r>
    </w:p>
    <w:p w14:paraId="3417C352" w14:textId="3E7AB2E2" w:rsidR="00B01947" w:rsidRPr="00A06315" w:rsidRDefault="00B01947" w:rsidP="0030271E">
      <w:pPr>
        <w:pStyle w:val="Heading3"/>
        <w:numPr>
          <w:ilvl w:val="2"/>
          <w:numId w:val="1"/>
        </w:numPr>
      </w:pPr>
      <w:r w:rsidRPr="00A06315">
        <w:t>Descriptive Statistical Analysis</w:t>
      </w:r>
    </w:p>
    <w:p w14:paraId="0EACF6F6" w14:textId="390436F2"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Descriptive statistics</w:t>
      </w:r>
      <w:r w:rsidR="00326F81">
        <w:rPr>
          <w:rFonts w:ascii="Times New Roman" w:hAnsi="Times New Roman" w:cs="Times New Roman"/>
        </w:rPr>
        <w:t>,</w:t>
      </w:r>
      <w:r w:rsidRPr="001A2FAD">
        <w:rPr>
          <w:rFonts w:ascii="Times New Roman" w:hAnsi="Times New Roman" w:cs="Times New Roman"/>
        </w:rPr>
        <w:t xml:space="preserve"> including means, percentages, frequencies, standard deviations, minimum values, and maximum values</w:t>
      </w:r>
      <w:r w:rsidR="00326F81">
        <w:rPr>
          <w:rFonts w:ascii="Times New Roman" w:hAnsi="Times New Roman" w:cs="Times New Roman"/>
        </w:rPr>
        <w:t>,</w:t>
      </w:r>
      <w:r w:rsidRPr="001A2FAD">
        <w:rPr>
          <w:rFonts w:ascii="Times New Roman" w:hAnsi="Times New Roman" w:cs="Times New Roman"/>
        </w:rPr>
        <w:t xml:space="preserve"> were employed to summarize socioeconomic characteristics and economic performance indicators.</w:t>
      </w:r>
    </w:p>
    <w:p w14:paraId="0502C231" w14:textId="35B017E2" w:rsidR="00B01947" w:rsidRDefault="00B01947" w:rsidP="001A2FAD">
      <w:pPr>
        <w:spacing w:line="360" w:lineRule="auto"/>
        <w:jc w:val="both"/>
        <w:rPr>
          <w:rFonts w:ascii="Times New Roman" w:hAnsi="Times New Roman" w:cs="Times New Roman"/>
        </w:rPr>
      </w:pPr>
      <w:r w:rsidRPr="001A2FAD">
        <w:rPr>
          <w:rFonts w:ascii="Times New Roman" w:hAnsi="Times New Roman" w:cs="Times New Roman"/>
        </w:rPr>
        <w:t>Mean:</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773C4" w14:paraId="0F04F9EE" w14:textId="77777777" w:rsidTr="00224C0C">
        <w:trPr>
          <w:trHeight w:val="584"/>
        </w:trPr>
        <w:tc>
          <w:tcPr>
            <w:tcW w:w="4675" w:type="dxa"/>
          </w:tcPr>
          <w:p w14:paraId="054BCAAE" w14:textId="40687017" w:rsidR="009773C4" w:rsidRPr="009773C4" w:rsidRDefault="009773C4" w:rsidP="00995769">
            <w:pPr>
              <w:spacing w:line="360" w:lineRule="auto"/>
              <w:rPr>
                <w:rFonts w:ascii="Times New Roman" w:hAnsi="Times New Roman" w:cs="Times New Roman"/>
              </w:rPr>
            </w:pPr>
            <m:oMath>
              <m:r>
                <m:rPr>
                  <m:sty m:val="p"/>
                </m:rPr>
                <w:rPr>
                  <w:rFonts w:ascii="Cambria Math" w:hAnsi="Cambria Math" w:cs="Times New Roman"/>
                </w:rPr>
                <m:t>Mean=</m:t>
              </m:r>
              <m:f>
                <m:fPr>
                  <m:ctrlPr>
                    <w:rPr>
                      <w:rFonts w:ascii="Cambria Math" w:hAnsi="Cambria Math" w:cs="Times New Roman"/>
                    </w:rPr>
                  </m:ctrlPr>
                </m:fPr>
                <m:num>
                  <m:r>
                    <m:rPr>
                      <m:sty m:val="p"/>
                    </m:rPr>
                    <w:rPr>
                      <w:rFonts w:ascii="Cambria Math" w:hAnsi="Cambria Math" w:cs="Times New Roman"/>
                    </w:rPr>
                    <m:t>∑X​​</m:t>
                  </m:r>
                </m:num>
                <m:den>
                  <m:r>
                    <w:rPr>
                      <w:rFonts w:ascii="Cambria Math" w:hAnsi="Cambria Math" w:cs="Times New Roman"/>
                    </w:rPr>
                    <m:t>N</m:t>
                  </m:r>
                </m:den>
              </m:f>
            </m:oMath>
            <w:r w:rsidRPr="001A2FAD">
              <w:rPr>
                <w:rFonts w:ascii="Times New Roman" w:hAnsi="Times New Roman" w:cs="Times New Roman"/>
              </w:rPr>
              <w:t xml:space="preserve"> </w:t>
            </w:r>
          </w:p>
        </w:tc>
        <w:tc>
          <w:tcPr>
            <w:tcW w:w="4675" w:type="dxa"/>
          </w:tcPr>
          <w:p w14:paraId="47AB3B0B" w14:textId="61C8E0AD" w:rsidR="009773C4" w:rsidRDefault="009773C4" w:rsidP="00995769">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2</w:t>
            </w:r>
            <w:r w:rsidRPr="001A2FAD">
              <w:rPr>
                <w:rFonts w:ascii="Times New Roman" w:hAnsi="Times New Roman" w:cs="Times New Roman"/>
              </w:rPr>
              <w:t>)</w:t>
            </w:r>
          </w:p>
        </w:tc>
      </w:tr>
    </w:tbl>
    <w:p w14:paraId="32C062F9" w14:textId="7108F975" w:rsidR="00B01947" w:rsidRDefault="00B01947" w:rsidP="001A2FAD">
      <w:pPr>
        <w:spacing w:line="360" w:lineRule="auto"/>
        <w:jc w:val="both"/>
        <w:rPr>
          <w:rFonts w:ascii="Times New Roman" w:hAnsi="Times New Roman" w:cs="Times New Roman"/>
        </w:rPr>
      </w:pPr>
      <w:r w:rsidRPr="001A2FAD">
        <w:rPr>
          <w:rFonts w:ascii="Times New Roman" w:hAnsi="Times New Roman" w:cs="Times New Roman"/>
        </w:rPr>
        <w:t>Standard Deviation:</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773C4" w14:paraId="0E18D196" w14:textId="77777777" w:rsidTr="00224C0C">
        <w:trPr>
          <w:trHeight w:val="773"/>
        </w:trPr>
        <w:tc>
          <w:tcPr>
            <w:tcW w:w="4675" w:type="dxa"/>
          </w:tcPr>
          <w:p w14:paraId="6B6F7CE0" w14:textId="5AD59752" w:rsidR="009773C4" w:rsidRPr="009773C4" w:rsidRDefault="009773C4" w:rsidP="00995769">
            <w:pPr>
              <w:spacing w:line="360" w:lineRule="auto"/>
              <w:rPr>
                <w:rFonts w:ascii="Times New Roman" w:hAnsi="Times New Roman" w:cs="Times New Roman"/>
              </w:rPr>
            </w:pPr>
            <m:oMathPara>
              <m:oMathParaPr>
                <m:jc m:val="left"/>
              </m:oMathParaPr>
              <m:oMath>
                <m:r>
                  <m:rPr>
                    <m:sty m:val="p"/>
                  </m:rPr>
                  <w:rPr>
                    <w:rFonts w:ascii="Cambria Math" w:hAnsi="Cambria Math" w:cs="Times New Roman"/>
                  </w:rPr>
                  <m:t xml:space="preserve">Std. Deviation= </m:t>
                </m:r>
                <m:f>
                  <m:fPr>
                    <m:ctrlPr>
                      <w:rPr>
                        <w:rFonts w:ascii="Cambria Math" w:hAnsi="Cambria Math" w:cs="Times New Roman"/>
                      </w:rPr>
                    </m:ctrlPr>
                  </m:fPr>
                  <m:num>
                    <m:r>
                      <m:rPr>
                        <m:sty m:val="p"/>
                      </m:rPr>
                      <w:rPr>
                        <w:rFonts w:ascii="Cambria Math" w:hAnsi="Cambria Math" w:cs="Times New Roman"/>
                      </w:rPr>
                      <m:t>√[Σ(X - X̄)² ​</m:t>
                    </m:r>
                  </m:num>
                  <m:den>
                    <m:r>
                      <w:rPr>
                        <w:rFonts w:ascii="Cambria Math" w:hAnsi="Cambria Math" w:cs="Times New Roman"/>
                      </w:rPr>
                      <m:t>N</m:t>
                    </m:r>
                    <m:r>
                      <m:rPr>
                        <m:sty m:val="p"/>
                      </m:rPr>
                      <w:rPr>
                        <w:rFonts w:ascii="Cambria Math" w:hAnsi="Cambria Math" w:cs="Times New Roman"/>
                      </w:rPr>
                      <m:t>-1</m:t>
                    </m:r>
                  </m:den>
                </m:f>
              </m:oMath>
            </m:oMathPara>
          </w:p>
        </w:tc>
        <w:tc>
          <w:tcPr>
            <w:tcW w:w="4675" w:type="dxa"/>
          </w:tcPr>
          <w:p w14:paraId="2F1685D4" w14:textId="6AA56711" w:rsidR="009773C4" w:rsidRDefault="009773C4" w:rsidP="00995769">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3</w:t>
            </w:r>
            <w:r w:rsidRPr="001A2FAD">
              <w:rPr>
                <w:rFonts w:ascii="Times New Roman" w:hAnsi="Times New Roman" w:cs="Times New Roman"/>
              </w:rPr>
              <w:t>)</w:t>
            </w:r>
          </w:p>
        </w:tc>
      </w:tr>
    </w:tbl>
    <w:p w14:paraId="5BAE2EB9" w14:textId="294E1CA8" w:rsidR="00747977" w:rsidRDefault="00B01947" w:rsidP="001A2FAD">
      <w:pPr>
        <w:spacing w:line="360" w:lineRule="auto"/>
        <w:jc w:val="both"/>
        <w:rPr>
          <w:rFonts w:ascii="Times New Roman" w:hAnsi="Times New Roman" w:cs="Times New Roman"/>
        </w:rPr>
      </w:pPr>
      <w:r w:rsidRPr="001A2FAD">
        <w:rPr>
          <w:rFonts w:ascii="Times New Roman" w:hAnsi="Times New Roman" w:cs="Times New Roman"/>
        </w:rPr>
        <w:t xml:space="preserve"> </w:t>
      </w:r>
      <w:r w:rsidR="00747977" w:rsidRPr="001A2FAD">
        <w:rPr>
          <w:rFonts w:ascii="Times New Roman" w:hAnsi="Times New Roman" w:cs="Times New Roman"/>
        </w:rPr>
        <w:t xml:space="preserve">Percentage: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5"/>
        <w:gridCol w:w="2155"/>
      </w:tblGrid>
      <w:tr w:rsidR="009773C4" w14:paraId="157983B5" w14:textId="77777777" w:rsidTr="00224C0C">
        <w:trPr>
          <w:trHeight w:val="773"/>
        </w:trPr>
        <w:tc>
          <w:tcPr>
            <w:tcW w:w="7195" w:type="dxa"/>
          </w:tcPr>
          <w:p w14:paraId="2AE15672" w14:textId="12E077EB" w:rsidR="009773C4" w:rsidRPr="009773C4" w:rsidRDefault="009773C4" w:rsidP="00995769">
            <w:pPr>
              <w:spacing w:line="360" w:lineRule="auto"/>
              <w:rPr>
                <w:rFonts w:ascii="Times New Roman" w:hAnsi="Times New Roman" w:cs="Times New Roman"/>
              </w:rPr>
            </w:pPr>
            <m:oMath>
              <m:r>
                <m:rPr>
                  <m:sty m:val="p"/>
                </m:rPr>
                <w:rPr>
                  <w:rFonts w:ascii="Cambria Math" w:hAnsi="Cambria Math" w:cs="Times New Roman"/>
                </w:rPr>
                <w:lastRenderedPageBreak/>
                <m:t>Percentage (%)=(</m:t>
              </m:r>
              <m:f>
                <m:fPr>
                  <m:ctrlPr>
                    <w:rPr>
                      <w:rFonts w:ascii="Cambria Math" w:hAnsi="Cambria Math" w:cs="Times New Roman"/>
                    </w:rPr>
                  </m:ctrlPr>
                </m:fPr>
                <m:num>
                  <m:r>
                    <m:rPr>
                      <m:sty m:val="p"/>
                    </m:rPr>
                    <w:rPr>
                      <w:rFonts w:ascii="Cambria Math" w:hAnsi="Cambria Math" w:cs="Times New Roman"/>
                    </w:rPr>
                    <m:t>Number of respondents in a category ​​</m:t>
                  </m:r>
                </m:num>
                <m:den>
                  <m:r>
                    <m:rPr>
                      <m:sty m:val="p"/>
                    </m:rPr>
                    <w:rPr>
                      <w:rFonts w:ascii="Cambria Math" w:hAnsi="Cambria Math" w:cs="Times New Roman"/>
                    </w:rPr>
                    <m:t>Total number of respondents</m:t>
                  </m:r>
                </m:den>
              </m:f>
              <m:r>
                <m:rPr>
                  <m:sty m:val="p"/>
                </m:rPr>
                <w:rPr>
                  <w:rFonts w:ascii="Cambria Math" w:hAnsi="Cambria Math" w:cs="Times New Roman"/>
                </w:rPr>
                <m:t>)×100</m:t>
              </m:r>
            </m:oMath>
            <w:r w:rsidRPr="001A2FAD">
              <w:rPr>
                <w:rFonts w:ascii="Times New Roman" w:hAnsi="Times New Roman" w:cs="Times New Roman"/>
              </w:rPr>
              <w:t xml:space="preserve">   </w:t>
            </w:r>
          </w:p>
        </w:tc>
        <w:tc>
          <w:tcPr>
            <w:tcW w:w="2155" w:type="dxa"/>
          </w:tcPr>
          <w:p w14:paraId="21BE1D5F" w14:textId="310D5299" w:rsidR="009773C4" w:rsidRDefault="009773C4" w:rsidP="00995769">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4</w:t>
            </w:r>
            <w:r w:rsidRPr="001A2FAD">
              <w:rPr>
                <w:rFonts w:ascii="Times New Roman" w:hAnsi="Times New Roman" w:cs="Times New Roman"/>
              </w:rPr>
              <w:t>)</w:t>
            </w:r>
          </w:p>
        </w:tc>
      </w:tr>
    </w:tbl>
    <w:p w14:paraId="25893FBC" w14:textId="05C7E19A" w:rsidR="00B01947" w:rsidRDefault="00747977" w:rsidP="001A2FAD">
      <w:pPr>
        <w:spacing w:line="360" w:lineRule="auto"/>
        <w:jc w:val="both"/>
        <w:rPr>
          <w:rFonts w:ascii="Times New Roman" w:hAnsi="Times New Roman" w:cs="Times New Roman"/>
        </w:rPr>
      </w:pPr>
      <w:r w:rsidRPr="001A2FAD">
        <w:rPr>
          <w:rFonts w:ascii="Times New Roman" w:hAnsi="Times New Roman" w:cs="Times New Roman"/>
        </w:rPr>
        <w:t>Relative Frequency</w:t>
      </w:r>
      <w:r w:rsidR="00B01947" w:rsidRPr="001A2FAD">
        <w:rPr>
          <w:rFonts w:ascii="Times New Roman" w:hAnsi="Times New Roman" w:cs="Times New Roman"/>
        </w:rPr>
        <w:t xml:space="preserve">: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5"/>
        <w:gridCol w:w="2155"/>
      </w:tblGrid>
      <w:tr w:rsidR="00995769" w14:paraId="3D57794A" w14:textId="77777777" w:rsidTr="00224C0C">
        <w:trPr>
          <w:trHeight w:val="773"/>
        </w:trPr>
        <w:tc>
          <w:tcPr>
            <w:tcW w:w="7195" w:type="dxa"/>
          </w:tcPr>
          <w:p w14:paraId="71899EBE" w14:textId="1557D618" w:rsidR="00995769" w:rsidRPr="009773C4" w:rsidRDefault="00995769" w:rsidP="00995769">
            <w:pPr>
              <w:spacing w:line="360" w:lineRule="auto"/>
              <w:rPr>
                <w:rFonts w:ascii="Times New Roman" w:hAnsi="Times New Roman" w:cs="Times New Roman"/>
              </w:rPr>
            </w:pPr>
            <m:oMath>
              <m:r>
                <m:rPr>
                  <m:sty m:val="p"/>
                </m:rPr>
                <w:rPr>
                  <w:rFonts w:ascii="Cambria Math" w:hAnsi="Cambria Math" w:cs="Times New Roman"/>
                </w:rPr>
                <m:t>Relative Frequency=</m:t>
              </m:r>
              <m:f>
                <m:fPr>
                  <m:ctrlPr>
                    <w:rPr>
                      <w:rFonts w:ascii="Cambria Math" w:hAnsi="Cambria Math" w:cs="Times New Roman"/>
                    </w:rPr>
                  </m:ctrlPr>
                </m:fPr>
                <m:num>
                  <m:r>
                    <m:rPr>
                      <m:sty m:val="p"/>
                    </m:rPr>
                    <w:rPr>
                      <w:rFonts w:ascii="Cambria Math" w:hAnsi="Cambria Math" w:cs="Times New Roman"/>
                    </w:rPr>
                    <m:t>Frequency for a Category</m:t>
                  </m:r>
                </m:num>
                <m:den>
                  <m:r>
                    <m:rPr>
                      <m:sty m:val="p"/>
                    </m:rPr>
                    <w:rPr>
                      <w:rFonts w:ascii="Cambria Math" w:hAnsi="Cambria Math" w:cs="Times New Roman"/>
                    </w:rPr>
                    <m:t>Total Responses</m:t>
                  </m:r>
                </m:den>
              </m:f>
            </m:oMath>
            <w:r w:rsidRPr="001A2FAD">
              <w:rPr>
                <w:rFonts w:ascii="Times New Roman" w:hAnsi="Times New Roman" w:cs="Times New Roman"/>
              </w:rPr>
              <w:t xml:space="preserve">    </w:t>
            </w:r>
          </w:p>
        </w:tc>
        <w:tc>
          <w:tcPr>
            <w:tcW w:w="2155" w:type="dxa"/>
          </w:tcPr>
          <w:p w14:paraId="479BC167" w14:textId="2113C822" w:rsidR="00995769" w:rsidRDefault="00995769" w:rsidP="00995769">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5</w:t>
            </w:r>
            <w:r w:rsidRPr="001A2FAD">
              <w:rPr>
                <w:rFonts w:ascii="Times New Roman" w:hAnsi="Times New Roman" w:cs="Times New Roman"/>
              </w:rPr>
              <w:t>)</w:t>
            </w:r>
          </w:p>
        </w:tc>
      </w:tr>
    </w:tbl>
    <w:p w14:paraId="46FD29FE" w14:textId="6D7C9BC8" w:rsidR="00B01947" w:rsidRPr="00A06315" w:rsidRDefault="00B01947" w:rsidP="0030271E">
      <w:pPr>
        <w:pStyle w:val="Heading3"/>
        <w:numPr>
          <w:ilvl w:val="2"/>
          <w:numId w:val="1"/>
        </w:numPr>
      </w:pPr>
      <w:r w:rsidRPr="00A06315">
        <w:t xml:space="preserve"> Weighted Average Frequency Analysis</w:t>
      </w:r>
    </w:p>
    <w:p w14:paraId="7940E091" w14:textId="77777777"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Weighted Average Frequency (WAF) was employed to rank the relative importance of production and marketing cost components and other economic variables.</w:t>
      </w:r>
    </w:p>
    <w:p w14:paraId="48F41F13" w14:textId="52907342" w:rsidR="00B01947" w:rsidRDefault="00B01947" w:rsidP="001A2FAD">
      <w:pPr>
        <w:spacing w:line="360" w:lineRule="auto"/>
        <w:jc w:val="both"/>
        <w:rPr>
          <w:rFonts w:ascii="Times New Roman" w:hAnsi="Times New Roman" w:cs="Times New Roman"/>
        </w:rPr>
      </w:pPr>
      <w:r w:rsidRPr="001A2FAD">
        <w:rPr>
          <w:rFonts w:ascii="Times New Roman" w:hAnsi="Times New Roman" w:cs="Times New Roman"/>
        </w:rPr>
        <w:t>The weighted average frequency was calculated as: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5"/>
        <w:gridCol w:w="2155"/>
      </w:tblGrid>
      <w:tr w:rsidR="00133C12" w14:paraId="163D4C28" w14:textId="77777777" w:rsidTr="00224C0C">
        <w:trPr>
          <w:trHeight w:val="458"/>
        </w:trPr>
        <w:tc>
          <w:tcPr>
            <w:tcW w:w="7195" w:type="dxa"/>
          </w:tcPr>
          <w:p w14:paraId="58B7D9DC" w14:textId="7C7BA59F" w:rsidR="00133C12" w:rsidRPr="009773C4" w:rsidRDefault="00133C12" w:rsidP="009C4C9D">
            <w:pPr>
              <w:spacing w:line="360" w:lineRule="auto"/>
              <w:rPr>
                <w:rFonts w:ascii="Times New Roman" w:hAnsi="Times New Roman" w:cs="Times New Roman"/>
              </w:rPr>
            </w:pPr>
            <m:oMath>
              <m:r>
                <m:rPr>
                  <m:sty m:val="p"/>
                </m:rPr>
                <w:rPr>
                  <w:rFonts w:ascii="Cambria Math" w:hAnsi="Cambria Math" w:cs="Times New Roman"/>
                </w:rPr>
                <m:t>WAF=</m:t>
              </m:r>
              <m:f>
                <m:fPr>
                  <m:ctrlPr>
                    <w:rPr>
                      <w:rFonts w:ascii="Cambria Math" w:hAnsi="Cambria Math" w:cs="Times New Roman"/>
                    </w:rPr>
                  </m:ctrlPr>
                </m:fPr>
                <m:num>
                  <m:r>
                    <m:rPr>
                      <m:sty m:val="p"/>
                    </m:rPr>
                    <w:rPr>
                      <w:rFonts w:ascii="Cambria Math" w:hAnsi="Cambria Math" w:cs="Times New Roman"/>
                    </w:rPr>
                    <m:t>(Fi × Wi)​​</m:t>
                  </m:r>
                </m:num>
                <m:den>
                  <m:r>
                    <m:rPr>
                      <m:sty m:val="p"/>
                    </m:rPr>
                    <w:rPr>
                      <w:rFonts w:ascii="Cambria Math" w:hAnsi="Cambria Math" w:cs="Times New Roman"/>
                    </w:rPr>
                    <m:t>ΣWi</m:t>
                  </m:r>
                </m:den>
              </m:f>
            </m:oMath>
            <w:r w:rsidRPr="001A2FAD">
              <w:rPr>
                <w:rFonts w:ascii="Times New Roman" w:hAnsi="Times New Roman" w:cs="Times New Roman"/>
              </w:rPr>
              <w:t xml:space="preserve">      </w:t>
            </w:r>
          </w:p>
        </w:tc>
        <w:tc>
          <w:tcPr>
            <w:tcW w:w="2155" w:type="dxa"/>
          </w:tcPr>
          <w:p w14:paraId="202DC077" w14:textId="48B01FF1" w:rsidR="00133C12" w:rsidRDefault="00133C12"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6</w:t>
            </w:r>
            <w:r w:rsidRPr="001A2FAD">
              <w:rPr>
                <w:rFonts w:ascii="Times New Roman" w:hAnsi="Times New Roman" w:cs="Times New Roman"/>
              </w:rPr>
              <w:t>)</w:t>
            </w:r>
          </w:p>
        </w:tc>
      </w:tr>
    </w:tbl>
    <w:p w14:paraId="679ECE48" w14:textId="77777777"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Where:</w:t>
      </w:r>
    </w:p>
    <w:p w14:paraId="525C7F3D" w14:textId="77777777"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Fi = frequency of responses</w:t>
      </w:r>
    </w:p>
    <w:p w14:paraId="418A3442" w14:textId="77777777"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Wi = assigned weight</w:t>
      </w:r>
    </w:p>
    <w:p w14:paraId="6E038D6F" w14:textId="77777777" w:rsidR="00B01947" w:rsidRPr="001A2FAD" w:rsidRDefault="00B01947" w:rsidP="001A2FAD">
      <w:pPr>
        <w:spacing w:line="360" w:lineRule="auto"/>
        <w:jc w:val="both"/>
        <w:rPr>
          <w:rFonts w:ascii="Times New Roman" w:hAnsi="Times New Roman" w:cs="Times New Roman"/>
        </w:rPr>
      </w:pPr>
      <w:r w:rsidRPr="001A2FAD">
        <w:rPr>
          <w:rFonts w:ascii="Times New Roman" w:hAnsi="Times New Roman" w:cs="Times New Roman"/>
        </w:rPr>
        <w:t>Higher WAF values indicate greater relative importance of a variable.</w:t>
      </w:r>
    </w:p>
    <w:p w14:paraId="4C463127" w14:textId="45BD477C" w:rsidR="0037125E" w:rsidRPr="00A06315" w:rsidRDefault="0037125E" w:rsidP="0030271E">
      <w:pPr>
        <w:pStyle w:val="Heading3"/>
        <w:numPr>
          <w:ilvl w:val="2"/>
          <w:numId w:val="1"/>
        </w:numPr>
      </w:pPr>
      <w:r w:rsidRPr="00A06315">
        <w:t>Economic Analysis</w:t>
      </w:r>
    </w:p>
    <w:p w14:paraId="3BD87AD0" w14:textId="77777777" w:rsidR="0037125E" w:rsidRPr="00A06315" w:rsidRDefault="0037125E" w:rsidP="00A06315">
      <w:pPr>
        <w:pStyle w:val="Heading4"/>
      </w:pPr>
      <w:r w:rsidRPr="00A06315">
        <w:t>Land Cost Estimation</w:t>
      </w:r>
    </w:p>
    <w:p w14:paraId="7AEC48A3" w14:textId="0A82A08F" w:rsidR="0037125E" w:rsidRDefault="0037125E" w:rsidP="001A2FAD">
      <w:pPr>
        <w:spacing w:line="360" w:lineRule="auto"/>
        <w:jc w:val="both"/>
        <w:rPr>
          <w:rFonts w:ascii="Times New Roman" w:hAnsi="Times New Roman" w:cs="Times New Roman"/>
        </w:rPr>
      </w:pPr>
      <w:r w:rsidRPr="001A2FAD">
        <w:rPr>
          <w:rFonts w:ascii="Times New Roman" w:hAnsi="Times New Roman" w:cs="Times New Roman"/>
        </w:rPr>
        <w:t>Land cost was estimated based on prevailing rental values and opportunity costs of land use.</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5"/>
        <w:gridCol w:w="2155"/>
      </w:tblGrid>
      <w:tr w:rsidR="00133C12" w14:paraId="68B33060" w14:textId="77777777" w:rsidTr="00224C0C">
        <w:trPr>
          <w:trHeight w:val="458"/>
        </w:trPr>
        <w:tc>
          <w:tcPr>
            <w:tcW w:w="7195" w:type="dxa"/>
          </w:tcPr>
          <w:p w14:paraId="361EA769" w14:textId="01EEF2B7" w:rsidR="00133C12" w:rsidRPr="009773C4" w:rsidRDefault="00133C12" w:rsidP="009C4C9D">
            <w:pPr>
              <w:spacing w:line="360" w:lineRule="auto"/>
              <w:rPr>
                <w:rFonts w:ascii="Times New Roman" w:hAnsi="Times New Roman" w:cs="Times New Roman"/>
              </w:rPr>
            </w:pPr>
            <m:oMath>
              <m:r>
                <m:rPr>
                  <m:sty m:val="p"/>
                </m:rPr>
                <w:rPr>
                  <w:rFonts w:ascii="Cambria Math" w:hAnsi="Cambria Math" w:cs="Times New Roman"/>
                </w:rPr>
                <m:t xml:space="preserve">Land Input Cost </m:t>
              </m:r>
              <m:d>
                <m:dPr>
                  <m:ctrlPr>
                    <w:rPr>
                      <w:rFonts w:ascii="Cambria Math" w:hAnsi="Cambria Math" w:cs="Times New Roman"/>
                    </w:rPr>
                  </m:ctrlPr>
                </m:dPr>
                <m:e>
                  <m:r>
                    <w:rPr>
                      <w:rFonts w:ascii="Cambria Math" w:hAnsi="Cambria Math" w:cs="Times New Roman"/>
                    </w:rPr>
                    <m:t>ETB</m:t>
                  </m:r>
                  <m:r>
                    <m:rPr>
                      <m:sty m:val="p"/>
                    </m:rPr>
                    <w:rPr>
                      <w:rFonts w:ascii="Cambria Math" w:hAnsi="Cambria Math" w:cs="Times New Roman"/>
                    </w:rPr>
                    <m:t>/</m:t>
                  </m:r>
                  <m:r>
                    <w:rPr>
                      <w:rFonts w:ascii="Cambria Math" w:hAnsi="Cambria Math" w:cs="Times New Roman"/>
                    </w:rPr>
                    <m:t>ha</m:t>
                  </m:r>
                </m:e>
              </m:d>
              <m:r>
                <m:rPr>
                  <m:sty m:val="p"/>
                </m:rPr>
                <w:rPr>
                  <w:rFonts w:ascii="Cambria Math" w:hAnsi="Cambria Math" w:cs="Times New Roman"/>
                </w:rPr>
                <m:t xml:space="preserve">=Area of Land ×Rental Cost </m:t>
              </m:r>
            </m:oMath>
            <w:r w:rsidRPr="001A2FAD">
              <w:rPr>
                <w:rFonts w:ascii="Times New Roman" w:hAnsi="Times New Roman" w:cs="Times New Roman"/>
              </w:rPr>
              <w:t xml:space="preserve">      </w:t>
            </w:r>
          </w:p>
        </w:tc>
        <w:tc>
          <w:tcPr>
            <w:tcW w:w="2155" w:type="dxa"/>
          </w:tcPr>
          <w:p w14:paraId="5109313F" w14:textId="06A0BA93" w:rsidR="00133C12" w:rsidRDefault="00133C12"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7</w:t>
            </w:r>
            <w:r w:rsidRPr="001A2FAD">
              <w:rPr>
                <w:rFonts w:ascii="Times New Roman" w:hAnsi="Times New Roman" w:cs="Times New Roman"/>
              </w:rPr>
              <w:t>)</w:t>
            </w:r>
          </w:p>
        </w:tc>
      </w:tr>
    </w:tbl>
    <w:p w14:paraId="589CFEE8" w14:textId="730B14DA" w:rsidR="00C5391D" w:rsidRPr="00A06315" w:rsidRDefault="00C5391D" w:rsidP="00A06315">
      <w:pPr>
        <w:pStyle w:val="Heading4"/>
      </w:pPr>
      <w:r w:rsidRPr="00A06315">
        <w:t>Labor Cost</w:t>
      </w:r>
      <w:r w:rsidR="00417A98" w:rsidRPr="00A06315">
        <w:t xml:space="preserve"> Estimation </w:t>
      </w:r>
    </w:p>
    <w:p w14:paraId="33E5F413" w14:textId="687B7F97" w:rsidR="00E06418" w:rsidRDefault="00417A98" w:rsidP="001A2FAD">
      <w:pPr>
        <w:spacing w:line="360" w:lineRule="auto"/>
        <w:jc w:val="both"/>
        <w:rPr>
          <w:rFonts w:ascii="Times New Roman" w:hAnsi="Times New Roman" w:cs="Times New Roman"/>
        </w:rPr>
      </w:pPr>
      <w:r w:rsidRPr="001A2FAD">
        <w:rPr>
          <w:rFonts w:ascii="Times New Roman" w:hAnsi="Times New Roman" w:cs="Times New Roman"/>
        </w:rPr>
        <w:t>Labor cost was calculated by summing labor expenses incurred during land preparation, planting, irrigation, weeding, harvesting, and postharvest handling</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5"/>
        <w:gridCol w:w="2155"/>
      </w:tblGrid>
      <w:tr w:rsidR="00133C12" w14:paraId="11F1C75E" w14:textId="77777777" w:rsidTr="00224C0C">
        <w:trPr>
          <w:trHeight w:val="458"/>
        </w:trPr>
        <w:tc>
          <w:tcPr>
            <w:tcW w:w="7195" w:type="dxa"/>
          </w:tcPr>
          <w:p w14:paraId="3DDE62C2" w14:textId="31C20F0F" w:rsidR="00133C12" w:rsidRPr="009773C4" w:rsidRDefault="00133C12" w:rsidP="009C4C9D">
            <w:pPr>
              <w:spacing w:line="360" w:lineRule="auto"/>
              <w:rPr>
                <w:rFonts w:ascii="Times New Roman" w:hAnsi="Times New Roman" w:cs="Times New Roman"/>
              </w:rPr>
            </w:pPr>
            <m:oMath>
              <m:r>
                <m:rPr>
                  <m:sty m:val="p"/>
                </m:rPr>
                <w:rPr>
                  <w:rFonts w:ascii="Cambria Math" w:hAnsi="Cambria Math" w:cs="Times New Roman"/>
                </w:rPr>
                <m:t>Labor Cost (ETB/ha)=∑(Labor Days×Daily Wage Rate)</m:t>
              </m:r>
            </m:oMath>
            <w:r w:rsidRPr="001A2FAD">
              <w:rPr>
                <w:rFonts w:ascii="Times New Roman" w:hAnsi="Times New Roman" w:cs="Times New Roman"/>
              </w:rPr>
              <w:t xml:space="preserve">     </w:t>
            </w:r>
          </w:p>
        </w:tc>
        <w:tc>
          <w:tcPr>
            <w:tcW w:w="2155" w:type="dxa"/>
          </w:tcPr>
          <w:p w14:paraId="177F83D9" w14:textId="0002D524" w:rsidR="00133C12" w:rsidRDefault="00133C12"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8</w:t>
            </w:r>
            <w:r w:rsidRPr="001A2FAD">
              <w:rPr>
                <w:rFonts w:ascii="Times New Roman" w:hAnsi="Times New Roman" w:cs="Times New Roman"/>
              </w:rPr>
              <w:t>)</w:t>
            </w:r>
          </w:p>
        </w:tc>
      </w:tr>
    </w:tbl>
    <w:p w14:paraId="585FF60D" w14:textId="7BD2A6CA" w:rsidR="00C5391D" w:rsidRPr="00A06315" w:rsidRDefault="00C5391D" w:rsidP="00A06315">
      <w:pPr>
        <w:pStyle w:val="Heading4"/>
      </w:pPr>
      <w:r w:rsidRPr="00A06315">
        <w:t>Marketing Cost</w:t>
      </w:r>
      <w:r w:rsidR="00417A98" w:rsidRPr="00A06315">
        <w:t xml:space="preserve"> Estimation </w:t>
      </w:r>
    </w:p>
    <w:p w14:paraId="42AA2397" w14:textId="75665CD6" w:rsidR="00417A98" w:rsidRDefault="00417A98" w:rsidP="001A2FAD">
      <w:pPr>
        <w:spacing w:line="360" w:lineRule="auto"/>
        <w:jc w:val="both"/>
        <w:rPr>
          <w:rFonts w:ascii="Times New Roman" w:hAnsi="Times New Roman" w:cs="Times New Roman"/>
        </w:rPr>
      </w:pPr>
      <w:r w:rsidRPr="001A2FAD">
        <w:rPr>
          <w:rFonts w:ascii="Times New Roman" w:hAnsi="Times New Roman" w:cs="Times New Roman"/>
        </w:rPr>
        <w:t>Marketing costs included transportation, packaging, loading and unloading, brokerage, and storage costs.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535"/>
      </w:tblGrid>
      <w:tr w:rsidR="00133C12" w14:paraId="7A625260" w14:textId="77777777" w:rsidTr="00224C0C">
        <w:trPr>
          <w:trHeight w:val="458"/>
        </w:trPr>
        <w:tc>
          <w:tcPr>
            <w:tcW w:w="8815" w:type="dxa"/>
          </w:tcPr>
          <w:p w14:paraId="5667BD8E" w14:textId="0701E60F" w:rsidR="00133C12" w:rsidRPr="009773C4" w:rsidRDefault="00133C12" w:rsidP="009C4C9D">
            <w:pPr>
              <w:spacing w:line="360" w:lineRule="auto"/>
              <w:rPr>
                <w:rFonts w:ascii="Times New Roman" w:hAnsi="Times New Roman" w:cs="Times New Roman"/>
              </w:rPr>
            </w:pPr>
            <m:oMath>
              <m:r>
                <m:rPr>
                  <m:sty m:val="p"/>
                </m:rPr>
                <w:rPr>
                  <w:rFonts w:ascii="Cambria Math" w:hAnsi="Cambria Math" w:cs="Times New Roman"/>
                </w:rPr>
                <w:lastRenderedPageBreak/>
                <m:t xml:space="preserve">Marketing Cost </m:t>
              </m:r>
              <m:d>
                <m:dPr>
                  <m:ctrlPr>
                    <w:rPr>
                      <w:rFonts w:ascii="Cambria Math" w:hAnsi="Cambria Math" w:cs="Times New Roman"/>
                    </w:rPr>
                  </m:ctrlPr>
                </m:dPr>
                <m:e>
                  <m:r>
                    <m:rPr>
                      <m:sty m:val="p"/>
                    </m:rPr>
                    <w:rPr>
                      <w:rFonts w:ascii="Cambria Math" w:hAnsi="Cambria Math" w:cs="Times New Roman"/>
                    </w:rPr>
                    <m:t>ETB</m:t>
                  </m:r>
                </m:e>
              </m:d>
              <m:r>
                <m:rPr>
                  <m:sty m:val="p"/>
                </m:rPr>
                <w:rPr>
                  <w:rFonts w:ascii="Cambria Math" w:hAnsi="Cambria Math" w:cs="Times New Roman"/>
                </w:rPr>
                <m:t>=Transportation +Brokerage +Packaging +Brokerage+Storage Cost</m:t>
              </m:r>
            </m:oMath>
            <w:r w:rsidRPr="001A2FAD">
              <w:rPr>
                <w:rFonts w:ascii="Times New Roman" w:hAnsi="Times New Roman" w:cs="Times New Roman"/>
              </w:rPr>
              <w:t xml:space="preserve">          </w:t>
            </w:r>
          </w:p>
        </w:tc>
        <w:tc>
          <w:tcPr>
            <w:tcW w:w="535" w:type="dxa"/>
          </w:tcPr>
          <w:p w14:paraId="64DFD7AF" w14:textId="2AF7D7DF" w:rsidR="00133C12" w:rsidRDefault="00133C12"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9</w:t>
            </w:r>
            <w:r w:rsidRPr="001A2FAD">
              <w:rPr>
                <w:rFonts w:ascii="Times New Roman" w:hAnsi="Times New Roman" w:cs="Times New Roman"/>
              </w:rPr>
              <w:t>)</w:t>
            </w:r>
          </w:p>
        </w:tc>
      </w:tr>
    </w:tbl>
    <w:p w14:paraId="049EAC08" w14:textId="443C9D0D" w:rsidR="00C5391D" w:rsidRPr="00A06315" w:rsidRDefault="00417A98" w:rsidP="00A06315">
      <w:pPr>
        <w:pStyle w:val="Heading4"/>
      </w:pPr>
      <w:r w:rsidRPr="00A06315">
        <w:t xml:space="preserve">Gross </w:t>
      </w:r>
      <w:r w:rsidR="00C5391D" w:rsidRPr="00A06315">
        <w:t>Return</w:t>
      </w:r>
    </w:p>
    <w:p w14:paraId="563A6168" w14:textId="776FCAFC" w:rsidR="00C5391D" w:rsidRDefault="00C5391D" w:rsidP="001A2FAD">
      <w:pPr>
        <w:spacing w:line="360" w:lineRule="auto"/>
        <w:jc w:val="both"/>
        <w:rPr>
          <w:rFonts w:ascii="Times New Roman" w:hAnsi="Times New Roman" w:cs="Times New Roman"/>
        </w:rPr>
      </w:pPr>
      <w:r w:rsidRPr="001A2FAD">
        <w:rPr>
          <w:rFonts w:ascii="Times New Roman" w:hAnsi="Times New Roman" w:cs="Times New Roman"/>
        </w:rPr>
        <w:t>Gross returns were calculated using the yield and the prevailing market price. The gross returns were determined using the formula: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133C12" w14:paraId="6394ABF2" w14:textId="77777777" w:rsidTr="00224C0C">
        <w:trPr>
          <w:trHeight w:val="458"/>
        </w:trPr>
        <w:tc>
          <w:tcPr>
            <w:tcW w:w="8815" w:type="dxa"/>
          </w:tcPr>
          <w:p w14:paraId="72809771" w14:textId="63E40621" w:rsidR="00133C12" w:rsidRPr="009773C4" w:rsidRDefault="00133C12" w:rsidP="009C4C9D">
            <w:pPr>
              <w:spacing w:line="360" w:lineRule="auto"/>
              <w:rPr>
                <w:rFonts w:ascii="Times New Roman" w:hAnsi="Times New Roman" w:cs="Times New Roman"/>
              </w:rPr>
            </w:pPr>
            <m:oMath>
              <m:r>
                <m:rPr>
                  <m:sty m:val="p"/>
                </m:rPr>
                <w:rPr>
                  <w:rFonts w:ascii="Cambria Math" w:hAnsi="Cambria Math" w:cs="Times New Roman"/>
                </w:rPr>
                <m:t>Gross Returns (ETB)=Total Yield (qt/ha)×Market Price (ETB/qt)</m:t>
              </m:r>
            </m:oMath>
            <w:r w:rsidRPr="001A2FAD">
              <w:rPr>
                <w:rFonts w:ascii="Times New Roman" w:hAnsi="Times New Roman" w:cs="Times New Roman"/>
              </w:rPr>
              <w:t xml:space="preserve">     </w:t>
            </w:r>
          </w:p>
        </w:tc>
        <w:tc>
          <w:tcPr>
            <w:tcW w:w="535" w:type="dxa"/>
          </w:tcPr>
          <w:p w14:paraId="4A3EBAE4" w14:textId="45629059" w:rsidR="00133C12" w:rsidRDefault="00133C12"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10</w:t>
            </w:r>
            <w:r w:rsidRPr="001A2FAD">
              <w:rPr>
                <w:rFonts w:ascii="Times New Roman" w:hAnsi="Times New Roman" w:cs="Times New Roman"/>
              </w:rPr>
              <w:t>)</w:t>
            </w:r>
          </w:p>
        </w:tc>
      </w:tr>
    </w:tbl>
    <w:p w14:paraId="5BD8C53D" w14:textId="23C5FF7A" w:rsidR="00C5391D" w:rsidRPr="00A06315" w:rsidRDefault="00C5391D" w:rsidP="00A06315">
      <w:pPr>
        <w:pStyle w:val="Heading4"/>
      </w:pPr>
      <w:r w:rsidRPr="00A06315">
        <w:t>Total Cost of Production</w:t>
      </w:r>
    </w:p>
    <w:p w14:paraId="2613A4E1" w14:textId="3A18F87F" w:rsidR="00C5391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The total production cost was calculated by summing the costs of land, labor, </w:t>
      </w:r>
      <w:r w:rsidR="00774689" w:rsidRPr="001A2FAD">
        <w:rPr>
          <w:rFonts w:ascii="Times New Roman" w:hAnsi="Times New Roman" w:cs="Times New Roman"/>
        </w:rPr>
        <w:t>input</w:t>
      </w:r>
      <w:r w:rsidRPr="001A2FAD">
        <w:rPr>
          <w:rFonts w:ascii="Times New Roman" w:hAnsi="Times New Roman" w:cs="Times New Roman"/>
        </w:rPr>
        <w:t>, and marketing.  The total production cost was determined using the formula: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3"/>
        <w:gridCol w:w="607"/>
      </w:tblGrid>
      <w:tr w:rsidR="00133C12" w14:paraId="159E9AFB" w14:textId="77777777" w:rsidTr="00224C0C">
        <w:trPr>
          <w:trHeight w:val="458"/>
        </w:trPr>
        <w:tc>
          <w:tcPr>
            <w:tcW w:w="8815" w:type="dxa"/>
          </w:tcPr>
          <w:p w14:paraId="4779CA00" w14:textId="1EA8744A" w:rsidR="00133C12" w:rsidRPr="009773C4" w:rsidRDefault="00133C12" w:rsidP="009C4C9D">
            <w:pPr>
              <w:spacing w:line="360" w:lineRule="auto"/>
              <w:rPr>
                <w:rFonts w:ascii="Times New Roman" w:hAnsi="Times New Roman" w:cs="Times New Roman"/>
              </w:rPr>
            </w:pPr>
            <m:oMath>
              <m:r>
                <m:rPr>
                  <m:sty m:val="p"/>
                </m:rPr>
                <w:rPr>
                  <w:rFonts w:ascii="Cambria Math" w:hAnsi="Cambria Math" w:cs="Times New Roman"/>
                </w:rPr>
                <m:t xml:space="preserve">Total Cost </m:t>
              </m:r>
              <m:d>
                <m:dPr>
                  <m:ctrlPr>
                    <w:rPr>
                      <w:rFonts w:ascii="Cambria Math" w:hAnsi="Cambria Math" w:cs="Times New Roman"/>
                    </w:rPr>
                  </m:ctrlPr>
                </m:dPr>
                <m:e>
                  <m:r>
                    <m:rPr>
                      <m:sty m:val="p"/>
                    </m:rPr>
                    <w:rPr>
                      <w:rFonts w:ascii="Cambria Math" w:hAnsi="Cambria Math" w:cs="Times New Roman"/>
                    </w:rPr>
                    <m:t>ETB/ha</m:t>
                  </m:r>
                </m:e>
              </m:d>
              <m:r>
                <m:rPr>
                  <m:sty m:val="p"/>
                </m:rPr>
                <w:rPr>
                  <w:rFonts w:ascii="Cambria Math" w:hAnsi="Cambria Math" w:cs="Times New Roman"/>
                </w:rPr>
                <m:t>=Land Cost+Input Cost+Labor Cost+Marketing Cost</m:t>
              </m:r>
            </m:oMath>
            <w:r w:rsidRPr="001A2FAD">
              <w:rPr>
                <w:rFonts w:ascii="Times New Roman" w:hAnsi="Times New Roman" w:cs="Times New Roman"/>
              </w:rPr>
              <w:t xml:space="preserve">      </w:t>
            </w:r>
          </w:p>
        </w:tc>
        <w:tc>
          <w:tcPr>
            <w:tcW w:w="535" w:type="dxa"/>
          </w:tcPr>
          <w:p w14:paraId="26473A91" w14:textId="3353040E" w:rsidR="00133C12" w:rsidRDefault="00133C12"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11</w:t>
            </w:r>
            <w:r w:rsidRPr="001A2FAD">
              <w:rPr>
                <w:rFonts w:ascii="Times New Roman" w:hAnsi="Times New Roman" w:cs="Times New Roman"/>
              </w:rPr>
              <w:t>)</w:t>
            </w:r>
          </w:p>
        </w:tc>
      </w:tr>
    </w:tbl>
    <w:p w14:paraId="25139BF3" w14:textId="609FFE25" w:rsidR="00C5391D" w:rsidRPr="00A06315" w:rsidRDefault="00C5391D" w:rsidP="00A06315">
      <w:pPr>
        <w:pStyle w:val="Heading4"/>
      </w:pPr>
      <w:r w:rsidRPr="00A06315">
        <w:t>Net Returns</w:t>
      </w:r>
    </w:p>
    <w:p w14:paraId="7C5281CE" w14:textId="47659559" w:rsidR="00C5391D" w:rsidRDefault="00C5391D" w:rsidP="001A2FAD">
      <w:pPr>
        <w:spacing w:line="360" w:lineRule="auto"/>
        <w:jc w:val="both"/>
        <w:rPr>
          <w:rFonts w:ascii="Times New Roman" w:hAnsi="Times New Roman" w:cs="Times New Roman"/>
        </w:rPr>
      </w:pPr>
      <w:r w:rsidRPr="001A2FAD">
        <w:rPr>
          <w:rFonts w:ascii="Times New Roman" w:hAnsi="Times New Roman" w:cs="Times New Roman"/>
        </w:rPr>
        <w:t>Net returns were calculated as the difference between gross returns and total production costs. Net returns were determined using the formula: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133C12" w14:paraId="57C89E60" w14:textId="77777777" w:rsidTr="00224C0C">
        <w:trPr>
          <w:trHeight w:val="458"/>
        </w:trPr>
        <w:tc>
          <w:tcPr>
            <w:tcW w:w="8815" w:type="dxa"/>
          </w:tcPr>
          <w:p w14:paraId="36528B62" w14:textId="44E1B4FE" w:rsidR="00133C12" w:rsidRPr="009773C4" w:rsidRDefault="00133C12" w:rsidP="009C4C9D">
            <w:pPr>
              <w:spacing w:line="360" w:lineRule="auto"/>
              <w:rPr>
                <w:rFonts w:ascii="Times New Roman" w:hAnsi="Times New Roman" w:cs="Times New Roman"/>
              </w:rPr>
            </w:pPr>
            <m:oMath>
              <m:r>
                <m:rPr>
                  <m:sty m:val="p"/>
                </m:rPr>
                <w:rPr>
                  <w:rFonts w:ascii="Cambria Math" w:hAnsi="Cambria Math" w:cs="Times New Roman"/>
                </w:rPr>
                <m:t>Net Returns (ETB/ha)=Gross Returns-Total Cost</m:t>
              </m:r>
            </m:oMath>
            <w:r w:rsidRPr="001A2FAD">
              <w:rPr>
                <w:rFonts w:ascii="Times New Roman" w:hAnsi="Times New Roman" w:cs="Times New Roman"/>
              </w:rPr>
              <w:t xml:space="preserve">           </w:t>
            </w:r>
          </w:p>
        </w:tc>
        <w:tc>
          <w:tcPr>
            <w:tcW w:w="535" w:type="dxa"/>
          </w:tcPr>
          <w:p w14:paraId="17BA0E70" w14:textId="36E4D078" w:rsidR="00133C12" w:rsidRDefault="00133C12"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12</w:t>
            </w:r>
            <w:r w:rsidRPr="001A2FAD">
              <w:rPr>
                <w:rFonts w:ascii="Times New Roman" w:hAnsi="Times New Roman" w:cs="Times New Roman"/>
              </w:rPr>
              <w:t>)</w:t>
            </w:r>
          </w:p>
        </w:tc>
      </w:tr>
    </w:tbl>
    <w:p w14:paraId="411FA8C3" w14:textId="3BC9B4C7" w:rsidR="00C5391D" w:rsidRPr="00A06315" w:rsidRDefault="00C5391D" w:rsidP="00A06315">
      <w:pPr>
        <w:pStyle w:val="Heading4"/>
      </w:pPr>
      <w:r w:rsidRPr="00A06315">
        <w:t>Input-Output Ratio</w:t>
      </w:r>
    </w:p>
    <w:p w14:paraId="769A0C37" w14:textId="2287EF26" w:rsidR="00C5391D" w:rsidRDefault="00C5391D" w:rsidP="001A2FAD">
      <w:pPr>
        <w:spacing w:line="360" w:lineRule="auto"/>
        <w:jc w:val="both"/>
        <w:rPr>
          <w:rFonts w:ascii="Times New Roman" w:hAnsi="Times New Roman" w:cs="Times New Roman"/>
        </w:rPr>
      </w:pPr>
      <w:r w:rsidRPr="001A2FAD">
        <w:rPr>
          <w:rFonts w:ascii="Times New Roman" w:hAnsi="Times New Roman" w:cs="Times New Roman"/>
        </w:rPr>
        <w:t>The Input-Output Ratio was used to measure the efficiency of resource use by comparing total inputs to output The Input-Output Ratio was determined using the formula: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133C12" w14:paraId="5AA62EC8" w14:textId="77777777" w:rsidTr="00224C0C">
        <w:trPr>
          <w:trHeight w:val="458"/>
        </w:trPr>
        <w:tc>
          <w:tcPr>
            <w:tcW w:w="8815" w:type="dxa"/>
          </w:tcPr>
          <w:p w14:paraId="5366D6F2" w14:textId="613AA5CC" w:rsidR="00133C12" w:rsidRPr="009773C4" w:rsidRDefault="00133C12" w:rsidP="009C4C9D">
            <w:pPr>
              <w:spacing w:line="360" w:lineRule="auto"/>
              <w:rPr>
                <w:rFonts w:ascii="Times New Roman" w:hAnsi="Times New Roman" w:cs="Times New Roman"/>
              </w:rPr>
            </w:pPr>
            <m:oMath>
              <m:r>
                <m:rPr>
                  <m:sty m:val="p"/>
                </m:rPr>
                <w:rPr>
                  <w:rFonts w:ascii="Cambria Math" w:hAnsi="Cambria Math" w:cs="Times New Roman"/>
                </w:rPr>
                <m:t>Input-Output Ratio=</m:t>
              </m:r>
              <m:f>
                <m:fPr>
                  <m:ctrlPr>
                    <w:rPr>
                      <w:rFonts w:ascii="Cambria Math" w:hAnsi="Cambria Math" w:cs="Times New Roman"/>
                    </w:rPr>
                  </m:ctrlPr>
                </m:fPr>
                <m:num>
                  <m:r>
                    <m:rPr>
                      <m:sty m:val="p"/>
                    </m:rPr>
                    <w:rPr>
                      <w:rFonts w:ascii="Cambria Math" w:hAnsi="Cambria Math" w:cs="Times New Roman"/>
                    </w:rPr>
                    <m:t>Gross Returns​​</m:t>
                  </m:r>
                </m:num>
                <m:den>
                  <m:r>
                    <m:rPr>
                      <m:sty m:val="p"/>
                    </m:rPr>
                    <w:rPr>
                      <w:rFonts w:ascii="Cambria Math" w:hAnsi="Cambria Math" w:cs="Times New Roman"/>
                    </w:rPr>
                    <m:t>Total cost</m:t>
                  </m:r>
                </m:den>
              </m:f>
            </m:oMath>
            <w:r w:rsidRPr="001A2FAD">
              <w:rPr>
                <w:rFonts w:ascii="Times New Roman" w:hAnsi="Times New Roman" w:cs="Times New Roman"/>
              </w:rPr>
              <w:t xml:space="preserve">    </w:t>
            </w:r>
          </w:p>
        </w:tc>
        <w:tc>
          <w:tcPr>
            <w:tcW w:w="535" w:type="dxa"/>
          </w:tcPr>
          <w:p w14:paraId="2B50ED23" w14:textId="0A1AA6CE" w:rsidR="00133C12" w:rsidRDefault="00133C12"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13</w:t>
            </w:r>
            <w:r w:rsidRPr="001A2FAD">
              <w:rPr>
                <w:rFonts w:ascii="Times New Roman" w:hAnsi="Times New Roman" w:cs="Times New Roman"/>
              </w:rPr>
              <w:t>)</w:t>
            </w:r>
          </w:p>
        </w:tc>
      </w:tr>
    </w:tbl>
    <w:p w14:paraId="654220AA" w14:textId="5C73640D" w:rsidR="00C5391D" w:rsidRPr="00A06315" w:rsidRDefault="00FF5B81" w:rsidP="00A06315">
      <w:pPr>
        <w:pStyle w:val="Heading4"/>
      </w:pPr>
      <w:r w:rsidRPr="00A06315">
        <w:t>Benefit-</w:t>
      </w:r>
      <w:r w:rsidR="00C5391D" w:rsidRPr="00A06315">
        <w:t>Cost-</w:t>
      </w:r>
      <w:r w:rsidRPr="00A06315">
        <w:t xml:space="preserve"> Ratio</w:t>
      </w:r>
    </w:p>
    <w:p w14:paraId="34EC19BD" w14:textId="61E87B27" w:rsidR="00C5391D" w:rsidRDefault="0098404B" w:rsidP="001A2FAD">
      <w:pPr>
        <w:spacing w:line="360" w:lineRule="auto"/>
        <w:jc w:val="both"/>
        <w:rPr>
          <w:rFonts w:ascii="Times New Roman" w:hAnsi="Times New Roman" w:cs="Times New Roman"/>
        </w:rPr>
      </w:pPr>
      <w:r w:rsidRPr="001A2FAD">
        <w:rPr>
          <w:rFonts w:ascii="Times New Roman" w:hAnsi="Times New Roman" w:cs="Times New Roman"/>
        </w:rPr>
        <w:t xml:space="preserve">The </w:t>
      </w:r>
      <w:r w:rsidR="00FF5B81" w:rsidRPr="001A2FAD">
        <w:rPr>
          <w:rFonts w:ascii="Times New Roman" w:hAnsi="Times New Roman" w:cs="Times New Roman"/>
        </w:rPr>
        <w:t>Benefit-</w:t>
      </w:r>
      <w:r w:rsidR="00C5391D" w:rsidRPr="001A2FAD">
        <w:rPr>
          <w:rFonts w:ascii="Times New Roman" w:hAnsi="Times New Roman" w:cs="Times New Roman"/>
        </w:rPr>
        <w:t>Cost-</w:t>
      </w:r>
      <w:r w:rsidR="00FF5B81" w:rsidRPr="001A2FAD">
        <w:rPr>
          <w:rFonts w:ascii="Times New Roman" w:hAnsi="Times New Roman" w:cs="Times New Roman"/>
        </w:rPr>
        <w:t>Ratio</w:t>
      </w:r>
      <w:r w:rsidR="00C5391D" w:rsidRPr="001A2FAD">
        <w:rPr>
          <w:rFonts w:ascii="Times New Roman" w:hAnsi="Times New Roman" w:cs="Times New Roman"/>
        </w:rPr>
        <w:t xml:space="preserve"> was used to compare the total benefits and costs in order to determine the economic viability of onion production</w:t>
      </w:r>
      <w:r w:rsidR="00FF5B81" w:rsidRPr="001A2FAD">
        <w:rPr>
          <w:rFonts w:ascii="Times New Roman" w:hAnsi="Times New Roman" w:cs="Times New Roman"/>
        </w:rPr>
        <w:t>. It</w:t>
      </w:r>
      <w:r w:rsidR="00C5391D" w:rsidRPr="001A2FAD">
        <w:rPr>
          <w:rFonts w:ascii="Times New Roman" w:hAnsi="Times New Roman" w:cs="Times New Roman"/>
        </w:rPr>
        <w:t xml:space="preserve"> was calculated using the formula: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133C12" w14:paraId="41CCBECC" w14:textId="77777777" w:rsidTr="0053449C">
        <w:trPr>
          <w:trHeight w:val="458"/>
        </w:trPr>
        <w:tc>
          <w:tcPr>
            <w:tcW w:w="8815" w:type="dxa"/>
          </w:tcPr>
          <w:p w14:paraId="323EB51C" w14:textId="20ADF8A2" w:rsidR="00133C12" w:rsidRPr="009773C4" w:rsidRDefault="00133C12" w:rsidP="009C4C9D">
            <w:pPr>
              <w:spacing w:line="360" w:lineRule="auto"/>
              <w:rPr>
                <w:rFonts w:ascii="Times New Roman" w:hAnsi="Times New Roman" w:cs="Times New Roman"/>
              </w:rPr>
            </w:pPr>
            <m:oMath>
              <m:r>
                <m:rPr>
                  <m:sty m:val="p"/>
                </m:rPr>
                <w:rPr>
                  <w:rFonts w:ascii="Cambria Math" w:hAnsi="Cambria Math" w:cs="Times New Roman"/>
                </w:rPr>
                <m:t>Benefit-Cost Ratio (BCR)=</m:t>
              </m:r>
              <m:f>
                <m:fPr>
                  <m:ctrlPr>
                    <w:rPr>
                      <w:rFonts w:ascii="Cambria Math" w:hAnsi="Cambria Math" w:cs="Times New Roman"/>
                    </w:rPr>
                  </m:ctrlPr>
                </m:fPr>
                <m:num>
                  <m:r>
                    <m:rPr>
                      <m:sty m:val="p"/>
                    </m:rPr>
                    <w:rPr>
                      <w:rFonts w:ascii="Cambria Math" w:hAnsi="Cambria Math" w:cs="Times New Roman"/>
                    </w:rPr>
                    <m:t>Gross Return​​</m:t>
                  </m:r>
                </m:num>
                <m:den>
                  <m:r>
                    <m:rPr>
                      <m:sty m:val="p"/>
                    </m:rPr>
                    <w:rPr>
                      <w:rFonts w:ascii="Cambria Math" w:hAnsi="Cambria Math" w:cs="Times New Roman"/>
                    </w:rPr>
                    <m:t>Total cost</m:t>
                  </m:r>
                </m:den>
              </m:f>
            </m:oMath>
            <w:r w:rsidRPr="001A2FAD">
              <w:rPr>
                <w:rFonts w:ascii="Times New Roman" w:hAnsi="Times New Roman" w:cs="Times New Roman"/>
              </w:rPr>
              <w:t xml:space="preserve">     </w:t>
            </w:r>
          </w:p>
        </w:tc>
        <w:tc>
          <w:tcPr>
            <w:tcW w:w="535" w:type="dxa"/>
          </w:tcPr>
          <w:p w14:paraId="2AB6CC6A" w14:textId="51C8C684" w:rsidR="00133C12" w:rsidRDefault="00133C12"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14</w:t>
            </w:r>
            <w:r w:rsidRPr="001A2FAD">
              <w:rPr>
                <w:rFonts w:ascii="Times New Roman" w:hAnsi="Times New Roman" w:cs="Times New Roman"/>
              </w:rPr>
              <w:t>)</w:t>
            </w:r>
          </w:p>
        </w:tc>
      </w:tr>
    </w:tbl>
    <w:p w14:paraId="14164F5A" w14:textId="307CD696" w:rsidR="00C5391D" w:rsidRPr="001A2FAD" w:rsidRDefault="00FF5B81" w:rsidP="001A2FAD">
      <w:pPr>
        <w:spacing w:line="360" w:lineRule="auto"/>
        <w:jc w:val="both"/>
        <w:rPr>
          <w:rFonts w:ascii="Times New Roman" w:hAnsi="Times New Roman" w:cs="Times New Roman"/>
        </w:rPr>
      </w:pPr>
      <w:r w:rsidRPr="001A2FAD">
        <w:rPr>
          <w:rFonts w:ascii="Times New Roman" w:hAnsi="Times New Roman" w:cs="Times New Roman"/>
        </w:rPr>
        <w:t>A BCR greater than one indicates economic feasibility.</w:t>
      </w:r>
    </w:p>
    <w:p w14:paraId="254D4335" w14:textId="18D1AF5B" w:rsidR="00C5391D" w:rsidRPr="00A06315" w:rsidRDefault="00C5391D" w:rsidP="00A06315">
      <w:pPr>
        <w:pStyle w:val="Heading4"/>
      </w:pPr>
      <w:r w:rsidRPr="00A06315">
        <w:lastRenderedPageBreak/>
        <w:t>Break-Even Analysis</w:t>
      </w:r>
    </w:p>
    <w:p w14:paraId="201820AC" w14:textId="106F1CBB" w:rsidR="00C5391D" w:rsidRDefault="00C5391D" w:rsidP="001A2FAD">
      <w:pPr>
        <w:spacing w:line="360" w:lineRule="auto"/>
        <w:jc w:val="both"/>
        <w:rPr>
          <w:rFonts w:ascii="Times New Roman" w:hAnsi="Times New Roman" w:cs="Times New Roman"/>
        </w:rPr>
      </w:pPr>
      <w:r w:rsidRPr="001A2FAD">
        <w:rPr>
          <w:rFonts w:ascii="Times New Roman" w:hAnsi="Times New Roman" w:cs="Times New Roman"/>
        </w:rPr>
        <w:t>The break-even yield was calculated as the minimum yield required to cover production costs.  The break-even yield was determined using the following formula: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133C12" w14:paraId="16CB318D" w14:textId="77777777" w:rsidTr="00BC4427">
        <w:trPr>
          <w:trHeight w:val="458"/>
        </w:trPr>
        <w:tc>
          <w:tcPr>
            <w:tcW w:w="8815" w:type="dxa"/>
          </w:tcPr>
          <w:p w14:paraId="612E4488" w14:textId="586F285B" w:rsidR="00133C12" w:rsidRPr="009773C4" w:rsidRDefault="00133C12" w:rsidP="009C4C9D">
            <w:pPr>
              <w:spacing w:line="360" w:lineRule="auto"/>
              <w:rPr>
                <w:rFonts w:ascii="Times New Roman" w:hAnsi="Times New Roman" w:cs="Times New Roman"/>
              </w:rPr>
            </w:pPr>
            <m:oMath>
              <m:r>
                <m:rPr>
                  <m:sty m:val="p"/>
                </m:rPr>
                <w:rPr>
                  <w:rFonts w:ascii="Cambria Math" w:hAnsi="Cambria Math" w:cs="Times New Roman"/>
                </w:rPr>
                <m:t>Break-Even Yield (qt/ha) =</m:t>
              </m:r>
              <m:f>
                <m:fPr>
                  <m:ctrlPr>
                    <w:rPr>
                      <w:rFonts w:ascii="Cambria Math" w:hAnsi="Cambria Math" w:cs="Times New Roman"/>
                    </w:rPr>
                  </m:ctrlPr>
                </m:fPr>
                <m:num>
                  <m:r>
                    <m:rPr>
                      <m:sty m:val="p"/>
                    </m:rPr>
                    <w:rPr>
                      <w:rFonts w:ascii="Cambria Math" w:hAnsi="Cambria Math" w:cs="Times New Roman"/>
                    </w:rPr>
                    <m:t xml:space="preserve">Total Cost </m:t>
                  </m:r>
                  <m:d>
                    <m:dPr>
                      <m:ctrlPr>
                        <w:rPr>
                          <w:rFonts w:ascii="Cambria Math" w:hAnsi="Cambria Math" w:cs="Times New Roman"/>
                        </w:rPr>
                      </m:ctrlPr>
                    </m:dPr>
                    <m:e>
                      <m:r>
                        <m:rPr>
                          <m:sty m:val="p"/>
                        </m:rPr>
                        <w:rPr>
                          <w:rFonts w:ascii="Cambria Math" w:hAnsi="Cambria Math" w:cs="Times New Roman"/>
                        </w:rPr>
                        <m:t xml:space="preserve"> ETB/ha</m:t>
                      </m:r>
                    </m:e>
                  </m:d>
                  <m:r>
                    <m:rPr>
                      <m:sty m:val="p"/>
                    </m:rPr>
                    <w:rPr>
                      <w:rFonts w:ascii="Cambria Math" w:hAnsi="Cambria Math" w:cs="Times New Roman"/>
                    </w:rPr>
                    <m:t>​​</m:t>
                  </m:r>
                </m:num>
                <m:den>
                  <m:r>
                    <m:rPr>
                      <m:sty m:val="p"/>
                    </m:rPr>
                    <w:rPr>
                      <w:rFonts w:ascii="Cambria Math" w:hAnsi="Cambria Math" w:cs="Times New Roman"/>
                    </w:rPr>
                    <m:t xml:space="preserve">Market Price </m:t>
                  </m:r>
                  <m:d>
                    <m:dPr>
                      <m:ctrlPr>
                        <w:rPr>
                          <w:rFonts w:ascii="Cambria Math" w:hAnsi="Cambria Math" w:cs="Times New Roman"/>
                        </w:rPr>
                      </m:ctrlPr>
                    </m:dPr>
                    <m:e>
                      <m:r>
                        <m:rPr>
                          <m:sty m:val="p"/>
                        </m:rPr>
                        <w:rPr>
                          <w:rFonts w:ascii="Cambria Math" w:hAnsi="Cambria Math" w:cs="Times New Roman"/>
                        </w:rPr>
                        <m:t>ETB/qt</m:t>
                      </m:r>
                    </m:e>
                  </m:d>
                </m:den>
              </m:f>
            </m:oMath>
            <w:r w:rsidRPr="001A2FAD">
              <w:rPr>
                <w:rFonts w:ascii="Times New Roman" w:hAnsi="Times New Roman" w:cs="Times New Roman"/>
              </w:rPr>
              <w:t xml:space="preserve">      </w:t>
            </w:r>
          </w:p>
        </w:tc>
        <w:tc>
          <w:tcPr>
            <w:tcW w:w="535" w:type="dxa"/>
          </w:tcPr>
          <w:p w14:paraId="4707F191" w14:textId="236C2BC2" w:rsidR="00133C12" w:rsidRDefault="00133C12"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1</w:t>
            </w:r>
            <w:r w:rsidR="009B0311">
              <w:rPr>
                <w:rFonts w:ascii="Times New Roman" w:hAnsi="Times New Roman" w:cs="Times New Roman"/>
              </w:rPr>
              <w:t>5</w:t>
            </w:r>
            <w:r w:rsidRPr="001A2FAD">
              <w:rPr>
                <w:rFonts w:ascii="Times New Roman" w:hAnsi="Times New Roman" w:cs="Times New Roman"/>
              </w:rPr>
              <w:t>)</w:t>
            </w:r>
          </w:p>
        </w:tc>
      </w:tr>
    </w:tbl>
    <w:p w14:paraId="12A12DCC" w14:textId="2FFBC4E5" w:rsidR="00C5391D" w:rsidRPr="00A06315" w:rsidRDefault="00C5391D" w:rsidP="00A06315">
      <w:pPr>
        <w:pStyle w:val="Heading4"/>
      </w:pPr>
      <w:r w:rsidRPr="00A06315">
        <w:t>Return on Investment (ROI)</w:t>
      </w:r>
    </w:p>
    <w:p w14:paraId="4C66B237" w14:textId="1E096209" w:rsidR="00C5391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Return on Investment (ROI) was calculated to measure the profitability of onion production relative to its </w:t>
      </w:r>
      <w:r w:rsidR="009B0311" w:rsidRPr="001A2FAD">
        <w:rPr>
          <w:rFonts w:ascii="Times New Roman" w:hAnsi="Times New Roman" w:cs="Times New Roman"/>
        </w:rPr>
        <w:t>costs. It</w:t>
      </w:r>
      <w:r w:rsidRPr="001A2FAD">
        <w:rPr>
          <w:rFonts w:ascii="Times New Roman" w:hAnsi="Times New Roman" w:cs="Times New Roman"/>
        </w:rPr>
        <w:t xml:space="preserve"> was determined using the following formula: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4"/>
        <w:gridCol w:w="616"/>
      </w:tblGrid>
      <w:tr w:rsidR="009B0311" w14:paraId="6B58C009" w14:textId="77777777" w:rsidTr="00A10B26">
        <w:trPr>
          <w:trHeight w:val="458"/>
        </w:trPr>
        <w:tc>
          <w:tcPr>
            <w:tcW w:w="8744" w:type="dxa"/>
          </w:tcPr>
          <w:p w14:paraId="48B2B3B3" w14:textId="22750154" w:rsidR="009B0311" w:rsidRPr="009773C4" w:rsidRDefault="009B0311" w:rsidP="009C4C9D">
            <w:pPr>
              <w:spacing w:line="360" w:lineRule="auto"/>
              <w:rPr>
                <w:rFonts w:ascii="Times New Roman" w:hAnsi="Times New Roman" w:cs="Times New Roman"/>
              </w:rPr>
            </w:pPr>
            <m:oMath>
              <m:r>
                <m:rPr>
                  <m:sty m:val="p"/>
                </m:rPr>
                <w:rPr>
                  <w:rFonts w:ascii="Cambria Math" w:hAnsi="Cambria Math" w:cs="Times New Roman"/>
                </w:rPr>
                <m:t xml:space="preserve">ROI </m:t>
              </m:r>
              <m:d>
                <m:dPr>
                  <m:ctrlPr>
                    <w:rPr>
                      <w:rFonts w:ascii="Cambria Math" w:hAnsi="Cambria Math" w:cs="Times New Roman"/>
                    </w:rPr>
                  </m:ctrlPr>
                </m:dPr>
                <m:e>
                  <m:r>
                    <m:rPr>
                      <m:sty m:val="p"/>
                    </m:rPr>
                    <w:rPr>
                      <w:rFonts w:ascii="Cambria Math" w:hAnsi="Cambria Math" w:cs="Times New Roman"/>
                    </w:rPr>
                    <m:t>%</m:t>
                  </m:r>
                </m:e>
              </m:d>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cs="Times New Roman"/>
                        </w:rPr>
                        <m:t>Net Return​​</m:t>
                      </m:r>
                    </m:num>
                    <m:den>
                      <m:r>
                        <m:rPr>
                          <m:sty m:val="p"/>
                        </m:rPr>
                        <w:rPr>
                          <w:rFonts w:ascii="Cambria Math" w:hAnsi="Cambria Math" w:cs="Times New Roman"/>
                        </w:rPr>
                        <m:t>Total Cost</m:t>
                      </m:r>
                    </m:den>
                  </m:f>
                </m:e>
              </m:d>
              <m:r>
                <m:rPr>
                  <m:sty m:val="p"/>
                </m:rPr>
                <w:rPr>
                  <w:rFonts w:ascii="Cambria Math" w:hAnsi="Cambria Math" w:cs="Times New Roman"/>
                </w:rPr>
                <m:t>×100</m:t>
              </m:r>
            </m:oMath>
            <w:r w:rsidRPr="001A2FAD">
              <w:rPr>
                <w:rFonts w:ascii="Times New Roman" w:hAnsi="Times New Roman" w:cs="Times New Roman"/>
              </w:rPr>
              <w:t xml:space="preserve">        </w:t>
            </w:r>
          </w:p>
        </w:tc>
        <w:tc>
          <w:tcPr>
            <w:tcW w:w="616" w:type="dxa"/>
          </w:tcPr>
          <w:p w14:paraId="0AA4B24C" w14:textId="763F948A" w:rsidR="009B0311" w:rsidRDefault="009B0311"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16</w:t>
            </w:r>
            <w:r w:rsidRPr="001A2FAD">
              <w:rPr>
                <w:rFonts w:ascii="Times New Roman" w:hAnsi="Times New Roman" w:cs="Times New Roman"/>
              </w:rPr>
              <w:t>)</w:t>
            </w:r>
          </w:p>
        </w:tc>
      </w:tr>
    </w:tbl>
    <w:p w14:paraId="4024E311" w14:textId="77777777" w:rsidR="00A10B26" w:rsidRPr="00A10B26" w:rsidRDefault="00A10B26" w:rsidP="00A10B26">
      <w:pPr>
        <w:pStyle w:val="Heading4"/>
      </w:pPr>
      <w:r>
        <w:t>Gross Margin (GM)</w:t>
      </w:r>
    </w:p>
    <w:p w14:paraId="6227E9D3" w14:textId="77777777" w:rsidR="00A10B26" w:rsidRPr="00A10B26" w:rsidRDefault="00A10B26" w:rsidP="00A10B26">
      <w:pPr>
        <w:spacing w:line="360" w:lineRule="auto"/>
        <w:jc w:val="both"/>
        <w:rPr>
          <w:rFonts w:ascii="Times New Roman" w:hAnsi="Times New Roman" w:cs="Times New Roman"/>
        </w:rPr>
      </w:pPr>
      <w:r w:rsidRPr="00A10B26">
        <w:rPr>
          <w:rFonts w:ascii="Times New Roman" w:hAnsi="Times New Roman" w:cs="Times New Roman"/>
        </w:rPr>
        <w:t>Gross Margin measures the profitability of an enterprise after accounting for variable costs.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4"/>
        <w:gridCol w:w="616"/>
      </w:tblGrid>
      <w:tr w:rsidR="00A10B26" w14:paraId="3C0562FA" w14:textId="77777777" w:rsidTr="0003716E">
        <w:trPr>
          <w:trHeight w:val="458"/>
        </w:trPr>
        <w:tc>
          <w:tcPr>
            <w:tcW w:w="8734" w:type="dxa"/>
          </w:tcPr>
          <w:p w14:paraId="47192A4A" w14:textId="61111629" w:rsidR="00A10B26" w:rsidRPr="009773C4" w:rsidRDefault="00A10B26" w:rsidP="009C4C9D">
            <w:pPr>
              <w:spacing w:line="360" w:lineRule="auto"/>
              <w:rPr>
                <w:rFonts w:ascii="Times New Roman" w:hAnsi="Times New Roman" w:cs="Times New Roman"/>
              </w:rPr>
            </w:pPr>
            <m:oMath>
              <m:r>
                <m:rPr>
                  <m:sty m:val="p"/>
                </m:rPr>
                <w:rPr>
                  <w:rFonts w:ascii="Cambria Math" w:hAnsi="Cambria Math"/>
                </w:rPr>
                <m:t>Gross Margin (ETB ha⁻¹)</m:t>
              </m:r>
              <m:r>
                <m:rPr>
                  <m:sty m:val="p"/>
                </m:rPr>
                <w:rPr>
                  <w:rFonts w:ascii="Cambria Math" w:hAnsi="Cambria Math" w:cs="Times New Roman"/>
                </w:rPr>
                <m:t>=</m:t>
              </m:r>
              <m:r>
                <m:rPr>
                  <m:sty m:val="p"/>
                </m:rPr>
                <w:rPr>
                  <w:rFonts w:ascii="Cambria Math" w:hAnsi="Cambria Math"/>
                </w:rPr>
                <m:t xml:space="preserve">Gross Revenue </m:t>
              </m:r>
              <m:r>
                <m:rPr>
                  <m:sty m:val="p"/>
                </m:rPr>
                <w:rPr>
                  <w:rFonts w:ascii="Cambria Math" w:hAnsi="Cambria Math" w:cs="Times New Roman"/>
                </w:rPr>
                <m:t>-</m:t>
              </m:r>
              <m:r>
                <m:rPr>
                  <m:sty m:val="p"/>
                </m:rPr>
                <w:rPr>
                  <w:rFonts w:ascii="Cambria Math" w:hAnsi="Cambria Math"/>
                </w:rPr>
                <m:t xml:space="preserve">Total Variable Cost </m:t>
              </m:r>
            </m:oMath>
            <w:r w:rsidRPr="001A2FAD">
              <w:rPr>
                <w:rFonts w:ascii="Times New Roman" w:hAnsi="Times New Roman" w:cs="Times New Roman"/>
              </w:rPr>
              <w:t xml:space="preserve">          </w:t>
            </w:r>
          </w:p>
        </w:tc>
        <w:tc>
          <w:tcPr>
            <w:tcW w:w="616" w:type="dxa"/>
          </w:tcPr>
          <w:p w14:paraId="2B782A8E" w14:textId="24F8EEDB" w:rsidR="00A10B26" w:rsidRDefault="00A10B26"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1</w:t>
            </w:r>
            <w:r w:rsidR="00D46606">
              <w:rPr>
                <w:rFonts w:ascii="Times New Roman" w:hAnsi="Times New Roman" w:cs="Times New Roman"/>
              </w:rPr>
              <w:t>7</w:t>
            </w:r>
            <w:r w:rsidRPr="001A2FAD">
              <w:rPr>
                <w:rFonts w:ascii="Times New Roman" w:hAnsi="Times New Roman" w:cs="Times New Roman"/>
              </w:rPr>
              <w:t>)</w:t>
            </w:r>
          </w:p>
        </w:tc>
      </w:tr>
    </w:tbl>
    <w:p w14:paraId="54723CFC" w14:textId="77777777" w:rsidR="00D46606" w:rsidRPr="00D46606" w:rsidRDefault="00D46606" w:rsidP="00D46606">
      <w:pPr>
        <w:pStyle w:val="Heading4"/>
      </w:pPr>
      <w:r>
        <w:t>Profit Margin (PM)</w:t>
      </w:r>
    </w:p>
    <w:p w14:paraId="3D9A7EAA" w14:textId="77777777" w:rsidR="00D46606" w:rsidRPr="00D46606" w:rsidRDefault="00D46606" w:rsidP="00D46606">
      <w:pPr>
        <w:spacing w:line="360" w:lineRule="auto"/>
        <w:jc w:val="both"/>
        <w:rPr>
          <w:rFonts w:ascii="Times New Roman" w:hAnsi="Times New Roman" w:cs="Times New Roman"/>
        </w:rPr>
      </w:pPr>
      <w:r w:rsidRPr="00D46606">
        <w:rPr>
          <w:rFonts w:ascii="Times New Roman" w:hAnsi="Times New Roman" w:cs="Times New Roman"/>
        </w:rPr>
        <w:t>Profit Margin indicates the proportion of revenue retained as profit after covering all production costs.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4"/>
        <w:gridCol w:w="616"/>
      </w:tblGrid>
      <w:tr w:rsidR="00D46606" w14:paraId="1EA58847" w14:textId="77777777" w:rsidTr="0003716E">
        <w:trPr>
          <w:trHeight w:val="458"/>
        </w:trPr>
        <w:tc>
          <w:tcPr>
            <w:tcW w:w="8734" w:type="dxa"/>
          </w:tcPr>
          <w:p w14:paraId="7D8FA32D" w14:textId="412A7A4C" w:rsidR="00D46606" w:rsidRPr="009773C4" w:rsidRDefault="00D46606" w:rsidP="009C4C9D">
            <w:pPr>
              <w:spacing w:line="360" w:lineRule="auto"/>
              <w:rPr>
                <w:rFonts w:ascii="Times New Roman" w:hAnsi="Times New Roman" w:cs="Times New Roman"/>
              </w:rPr>
            </w:pPr>
            <m:oMath>
              <m:r>
                <m:rPr>
                  <m:sty m:val="p"/>
                </m:rPr>
                <w:rPr>
                  <w:rFonts w:ascii="Cambria Math" w:hAnsi="Cambria Math"/>
                </w:rPr>
                <m:t>Profit Margin (%)</m:t>
              </m:r>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rPr>
                        <m:t>Net Return (ETB ha⁻¹)</m:t>
                      </m:r>
                      <m:r>
                        <m:rPr>
                          <m:sty m:val="p"/>
                        </m:rPr>
                        <w:rPr>
                          <w:rFonts w:ascii="Cambria Math" w:hAnsi="Cambria Math" w:cs="Times New Roman"/>
                        </w:rPr>
                        <m:t>​​</m:t>
                      </m:r>
                    </m:num>
                    <m:den>
                      <m:r>
                        <m:rPr>
                          <m:sty m:val="p"/>
                        </m:rPr>
                        <w:rPr>
                          <w:rFonts w:ascii="Cambria Math" w:hAnsi="Cambria Math"/>
                        </w:rPr>
                        <m:t>Gross Revenue (ETB ha⁻¹)</m:t>
                      </m:r>
                    </m:den>
                  </m:f>
                </m:e>
              </m:d>
              <m:r>
                <m:rPr>
                  <m:sty m:val="p"/>
                </m:rPr>
                <w:rPr>
                  <w:rFonts w:ascii="Cambria Math" w:hAnsi="Cambria Math" w:cs="Times New Roman"/>
                </w:rPr>
                <m:t>×100</m:t>
              </m:r>
            </m:oMath>
            <w:r w:rsidRPr="001A2FAD">
              <w:rPr>
                <w:rFonts w:ascii="Times New Roman" w:hAnsi="Times New Roman" w:cs="Times New Roman"/>
              </w:rPr>
              <w:t xml:space="preserve">        </w:t>
            </w:r>
          </w:p>
        </w:tc>
        <w:tc>
          <w:tcPr>
            <w:tcW w:w="616" w:type="dxa"/>
          </w:tcPr>
          <w:p w14:paraId="0A73FC5F" w14:textId="62086048" w:rsidR="00D46606" w:rsidRDefault="00D46606"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18</w:t>
            </w:r>
            <w:r w:rsidRPr="001A2FAD">
              <w:rPr>
                <w:rFonts w:ascii="Times New Roman" w:hAnsi="Times New Roman" w:cs="Times New Roman"/>
              </w:rPr>
              <w:t>)</w:t>
            </w:r>
          </w:p>
        </w:tc>
      </w:tr>
    </w:tbl>
    <w:p w14:paraId="7A93A5FB" w14:textId="77777777" w:rsidR="00D46606" w:rsidRPr="00D46606" w:rsidRDefault="00D46606" w:rsidP="00D46606">
      <w:pPr>
        <w:pStyle w:val="Heading4"/>
      </w:pPr>
      <w:r>
        <w:t>Labor Productivity (LP)</w:t>
      </w:r>
    </w:p>
    <w:p w14:paraId="0D5396C8" w14:textId="77777777" w:rsidR="00D46606" w:rsidRPr="00D46606" w:rsidRDefault="00D46606" w:rsidP="00D46606">
      <w:pPr>
        <w:spacing w:line="360" w:lineRule="auto"/>
        <w:jc w:val="both"/>
        <w:rPr>
          <w:rFonts w:ascii="Times New Roman" w:hAnsi="Times New Roman" w:cs="Times New Roman"/>
        </w:rPr>
      </w:pPr>
      <w:r w:rsidRPr="00D46606">
        <w:rPr>
          <w:rFonts w:ascii="Times New Roman" w:hAnsi="Times New Roman" w:cs="Times New Roman"/>
        </w:rPr>
        <w:t>Labor Productivity measures the output or income generated per unit of labor employed.</w:t>
      </w:r>
    </w:p>
    <w:p w14:paraId="6F9BBF75" w14:textId="747CC476" w:rsidR="009B7823" w:rsidRPr="004571A6" w:rsidRDefault="00D46606" w:rsidP="001A2FAD">
      <w:pPr>
        <w:spacing w:line="360" w:lineRule="auto"/>
        <w:jc w:val="both"/>
        <w:rPr>
          <w:rFonts w:ascii="Times New Roman" w:hAnsi="Times New Roman" w:cs="Times New Roman"/>
        </w:rPr>
      </w:pPr>
      <w:r w:rsidRPr="004571A6">
        <w:rPr>
          <w:rFonts w:ascii="Times New Roman" w:hAnsi="Times New Roman" w:cs="Times New Roman"/>
        </w:rPr>
        <w:t>Revenue-based</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4"/>
        <w:gridCol w:w="616"/>
      </w:tblGrid>
      <w:tr w:rsidR="00D46606" w14:paraId="3B36DFB8" w14:textId="77777777" w:rsidTr="00FE2BAB">
        <w:trPr>
          <w:trHeight w:val="728"/>
        </w:trPr>
        <w:tc>
          <w:tcPr>
            <w:tcW w:w="8734" w:type="dxa"/>
          </w:tcPr>
          <w:p w14:paraId="511D0250" w14:textId="6079F68E" w:rsidR="00D46606" w:rsidRPr="009773C4" w:rsidRDefault="00D46606" w:rsidP="00D46606">
            <w:pPr>
              <w:spacing w:line="360" w:lineRule="auto"/>
              <w:rPr>
                <w:rFonts w:ascii="Times New Roman" w:hAnsi="Times New Roman" w:cs="Times New Roman"/>
              </w:rPr>
            </w:pPr>
            <m:oMathPara>
              <m:oMathParaPr>
                <m:jc m:val="left"/>
              </m:oMathParaPr>
              <m:oMath>
                <m:r>
                  <m:rPr>
                    <m:sty m:val="p"/>
                  </m:rPr>
                  <w:rPr>
                    <w:rFonts w:ascii="Cambria Math" w:hAnsi="Cambria Math"/>
                  </w:rPr>
                  <m:t>Labor Productivity</m:t>
                </m:r>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rPr>
                          <m:t>Gross Revenue (ETB)</m:t>
                        </m:r>
                        <m:r>
                          <m:rPr>
                            <m:sty m:val="p"/>
                          </m:rPr>
                          <w:rPr>
                            <w:rFonts w:ascii="Cambria Math" w:hAnsi="Cambria Math" w:cs="Times New Roman"/>
                          </w:rPr>
                          <m:t>​​</m:t>
                        </m:r>
                      </m:num>
                      <m:den>
                        <m:r>
                          <m:rPr>
                            <m:sty m:val="p"/>
                          </m:rPr>
                          <w:rPr>
                            <w:rFonts w:ascii="Cambria Math" w:hAnsi="Cambria Math"/>
                          </w:rPr>
                          <m:t>Total Labor Used (person-days)</m:t>
                        </m:r>
                      </m:den>
                    </m:f>
                  </m:e>
                </m:d>
              </m:oMath>
            </m:oMathPara>
          </w:p>
        </w:tc>
        <w:tc>
          <w:tcPr>
            <w:tcW w:w="616" w:type="dxa"/>
          </w:tcPr>
          <w:p w14:paraId="60EE90D3" w14:textId="2AC3D344" w:rsidR="00D46606" w:rsidRDefault="00D46606"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1</w:t>
            </w:r>
            <w:r w:rsidR="004571A6">
              <w:rPr>
                <w:rFonts w:ascii="Times New Roman" w:hAnsi="Times New Roman" w:cs="Times New Roman"/>
              </w:rPr>
              <w:t>9</w:t>
            </w:r>
            <w:r w:rsidRPr="001A2FAD">
              <w:rPr>
                <w:rFonts w:ascii="Times New Roman" w:hAnsi="Times New Roman" w:cs="Times New Roman"/>
              </w:rPr>
              <w:t>)</w:t>
            </w:r>
          </w:p>
        </w:tc>
      </w:tr>
    </w:tbl>
    <w:p w14:paraId="5E92C209" w14:textId="1CFFAF30" w:rsidR="00D46606" w:rsidRPr="004571A6" w:rsidRDefault="00D46606" w:rsidP="001A2FAD">
      <w:pPr>
        <w:spacing w:line="360" w:lineRule="auto"/>
        <w:jc w:val="both"/>
        <w:rPr>
          <w:rFonts w:ascii="Times New Roman" w:hAnsi="Times New Roman" w:cs="Times New Roman"/>
        </w:rPr>
      </w:pPr>
      <w:r w:rsidRPr="004571A6">
        <w:rPr>
          <w:rFonts w:ascii="Times New Roman" w:hAnsi="Times New Roman" w:cs="Times New Roman"/>
        </w:rPr>
        <w:t>Output-based</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4"/>
        <w:gridCol w:w="616"/>
      </w:tblGrid>
      <w:tr w:rsidR="00D46606" w14:paraId="0F2E4B16" w14:textId="77777777" w:rsidTr="00FE2BAB">
        <w:trPr>
          <w:trHeight w:val="458"/>
        </w:trPr>
        <w:tc>
          <w:tcPr>
            <w:tcW w:w="8734" w:type="dxa"/>
          </w:tcPr>
          <w:p w14:paraId="1FEC39BD" w14:textId="4F66BA5E" w:rsidR="00D46606" w:rsidRPr="009773C4" w:rsidRDefault="00D46606" w:rsidP="009C4C9D">
            <w:pPr>
              <w:spacing w:line="360" w:lineRule="auto"/>
              <w:rPr>
                <w:rFonts w:ascii="Times New Roman" w:hAnsi="Times New Roman" w:cs="Times New Roman"/>
              </w:rPr>
            </w:pPr>
            <m:oMath>
              <m:r>
                <m:rPr>
                  <m:sty m:val="p"/>
                </m:rPr>
                <w:rPr>
                  <w:rFonts w:ascii="Cambria Math" w:hAnsi="Cambria Math"/>
                </w:rPr>
                <m:t>Labor Productivity</m:t>
              </m:r>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rPr>
                        <m:t>Total Yield (kg or t ha⁻¹)</m:t>
                      </m:r>
                      <m:r>
                        <m:rPr>
                          <m:sty m:val="p"/>
                        </m:rPr>
                        <w:rPr>
                          <w:rFonts w:ascii="Cambria Math" w:hAnsi="Cambria Math" w:cs="Times New Roman"/>
                        </w:rPr>
                        <m:t>​​</m:t>
                      </m:r>
                    </m:num>
                    <m:den>
                      <m:r>
                        <m:rPr>
                          <m:sty m:val="p"/>
                        </m:rPr>
                        <w:rPr>
                          <w:rFonts w:ascii="Cambria Math" w:hAnsi="Cambria Math"/>
                        </w:rPr>
                        <m:t>Total Labor Used (person-days)</m:t>
                      </m:r>
                    </m:den>
                  </m:f>
                </m:e>
              </m:d>
            </m:oMath>
            <w:r w:rsidRPr="001A2FAD">
              <w:rPr>
                <w:rFonts w:ascii="Times New Roman" w:hAnsi="Times New Roman" w:cs="Times New Roman"/>
              </w:rPr>
              <w:t xml:space="preserve">       </w:t>
            </w:r>
          </w:p>
        </w:tc>
        <w:tc>
          <w:tcPr>
            <w:tcW w:w="616" w:type="dxa"/>
          </w:tcPr>
          <w:p w14:paraId="446FC6E6" w14:textId="75DC46F4" w:rsidR="00D46606" w:rsidRDefault="00D46606" w:rsidP="009C4C9D">
            <w:pPr>
              <w:spacing w:line="360" w:lineRule="auto"/>
              <w:jc w:val="right"/>
              <w:rPr>
                <w:rFonts w:ascii="Times New Roman" w:hAnsi="Times New Roman" w:cs="Times New Roman"/>
              </w:rPr>
            </w:pPr>
            <w:r w:rsidRPr="001A2FAD">
              <w:rPr>
                <w:rFonts w:ascii="Times New Roman" w:hAnsi="Times New Roman" w:cs="Times New Roman"/>
              </w:rPr>
              <w:t>(</w:t>
            </w:r>
            <w:r w:rsidR="004571A6">
              <w:rPr>
                <w:rFonts w:ascii="Times New Roman" w:hAnsi="Times New Roman" w:cs="Times New Roman"/>
              </w:rPr>
              <w:t>20</w:t>
            </w:r>
            <w:r w:rsidRPr="001A2FAD">
              <w:rPr>
                <w:rFonts w:ascii="Times New Roman" w:hAnsi="Times New Roman" w:cs="Times New Roman"/>
              </w:rPr>
              <w:t>)</w:t>
            </w:r>
          </w:p>
        </w:tc>
      </w:tr>
    </w:tbl>
    <w:p w14:paraId="398A8E87" w14:textId="77777777" w:rsidR="004571A6" w:rsidRPr="004571A6" w:rsidRDefault="004571A6" w:rsidP="004571A6">
      <w:pPr>
        <w:pStyle w:val="Heading4"/>
      </w:pPr>
      <w:r>
        <w:t>Profitability Index (PI)</w:t>
      </w:r>
    </w:p>
    <w:p w14:paraId="138A9C46" w14:textId="77777777" w:rsidR="004571A6" w:rsidRPr="004571A6" w:rsidRDefault="004571A6" w:rsidP="004571A6">
      <w:pPr>
        <w:spacing w:line="360" w:lineRule="auto"/>
        <w:jc w:val="both"/>
        <w:rPr>
          <w:rFonts w:ascii="Times New Roman" w:hAnsi="Times New Roman" w:cs="Times New Roman"/>
        </w:rPr>
      </w:pPr>
      <w:r w:rsidRPr="004571A6">
        <w:rPr>
          <w:rFonts w:ascii="Times New Roman" w:hAnsi="Times New Roman" w:cs="Times New Roman"/>
        </w:rPr>
        <w:t>Profitability Index evaluates the return generated per unit of investment.</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4"/>
        <w:gridCol w:w="616"/>
      </w:tblGrid>
      <w:tr w:rsidR="00FE2BAB" w14:paraId="5A84792F" w14:textId="77777777" w:rsidTr="00FE2BAB">
        <w:trPr>
          <w:trHeight w:val="458"/>
        </w:trPr>
        <w:tc>
          <w:tcPr>
            <w:tcW w:w="8734" w:type="dxa"/>
          </w:tcPr>
          <w:p w14:paraId="5568979F" w14:textId="47366DB4" w:rsidR="004571A6" w:rsidRPr="009773C4" w:rsidRDefault="004571A6" w:rsidP="009C4C9D">
            <w:pPr>
              <w:spacing w:line="360" w:lineRule="auto"/>
              <w:rPr>
                <w:rFonts w:ascii="Times New Roman" w:hAnsi="Times New Roman" w:cs="Times New Roman"/>
              </w:rPr>
            </w:pPr>
            <m:oMath>
              <m:r>
                <m:rPr>
                  <m:sty m:val="p"/>
                </m:rPr>
                <w:rPr>
                  <w:rFonts w:ascii="Cambria Math" w:hAnsi="Cambria Math"/>
                </w:rPr>
                <w:lastRenderedPageBreak/>
                <m:t>Profitability Index</m:t>
              </m:r>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rPr>
                        <m:t>Net Return (ETB)</m:t>
                      </m:r>
                      <m:r>
                        <m:rPr>
                          <m:sty m:val="p"/>
                        </m:rPr>
                        <w:rPr>
                          <w:rFonts w:ascii="Cambria Math" w:hAnsi="Cambria Math" w:cs="Times New Roman"/>
                        </w:rPr>
                        <m:t>​​</m:t>
                      </m:r>
                    </m:num>
                    <m:den>
                      <m:r>
                        <m:rPr>
                          <m:sty m:val="p"/>
                        </m:rPr>
                        <w:rPr>
                          <w:rFonts w:ascii="Cambria Math" w:hAnsi="Cambria Math"/>
                        </w:rPr>
                        <m:t>Total Production Cost (ETB)</m:t>
                      </m:r>
                    </m:den>
                  </m:f>
                </m:e>
              </m:d>
            </m:oMath>
            <w:r w:rsidRPr="001A2FAD">
              <w:rPr>
                <w:rFonts w:ascii="Times New Roman" w:hAnsi="Times New Roman" w:cs="Times New Roman"/>
              </w:rPr>
              <w:t xml:space="preserve">       </w:t>
            </w:r>
          </w:p>
        </w:tc>
        <w:tc>
          <w:tcPr>
            <w:tcW w:w="616" w:type="dxa"/>
          </w:tcPr>
          <w:p w14:paraId="288D9471" w14:textId="44856BBA" w:rsidR="004571A6" w:rsidRDefault="004571A6"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21</w:t>
            </w:r>
            <w:r w:rsidRPr="001A2FAD">
              <w:rPr>
                <w:rFonts w:ascii="Times New Roman" w:hAnsi="Times New Roman" w:cs="Times New Roman"/>
              </w:rPr>
              <w:t>)</w:t>
            </w:r>
          </w:p>
        </w:tc>
      </w:tr>
    </w:tbl>
    <w:p w14:paraId="49666354" w14:textId="77777777" w:rsidR="004571A6" w:rsidRPr="004571A6" w:rsidRDefault="004571A6" w:rsidP="004571A6">
      <w:pPr>
        <w:pStyle w:val="Heading4"/>
      </w:pPr>
      <w:r>
        <w:t>Break-Even Price (BEP)</w:t>
      </w:r>
    </w:p>
    <w:p w14:paraId="77FD6ACC" w14:textId="77777777" w:rsidR="004571A6" w:rsidRPr="004571A6" w:rsidRDefault="004571A6" w:rsidP="004571A6">
      <w:pPr>
        <w:spacing w:line="360" w:lineRule="auto"/>
        <w:jc w:val="both"/>
        <w:rPr>
          <w:rFonts w:ascii="Times New Roman" w:hAnsi="Times New Roman" w:cs="Times New Roman"/>
        </w:rPr>
      </w:pPr>
      <w:r w:rsidRPr="004571A6">
        <w:rPr>
          <w:rFonts w:ascii="Times New Roman" w:hAnsi="Times New Roman" w:cs="Times New Roman"/>
        </w:rPr>
        <w:t>Break-Even Price is the minimum selling price required to cover total production costs.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4"/>
        <w:gridCol w:w="616"/>
      </w:tblGrid>
      <w:tr w:rsidR="004571A6" w14:paraId="37408C1B" w14:textId="77777777" w:rsidTr="00FE2BAB">
        <w:trPr>
          <w:trHeight w:val="458"/>
        </w:trPr>
        <w:tc>
          <w:tcPr>
            <w:tcW w:w="8734" w:type="dxa"/>
          </w:tcPr>
          <w:p w14:paraId="389B8876" w14:textId="43ADD77F" w:rsidR="004571A6" w:rsidRPr="009773C4" w:rsidRDefault="004571A6" w:rsidP="009C4C9D">
            <w:pPr>
              <w:spacing w:line="360" w:lineRule="auto"/>
              <w:rPr>
                <w:rFonts w:ascii="Times New Roman" w:hAnsi="Times New Roman" w:cs="Times New Roman"/>
              </w:rPr>
            </w:pPr>
            <m:oMath>
              <m:r>
                <m:rPr>
                  <m:sty m:val="p"/>
                </m:rPr>
                <w:rPr>
                  <w:rFonts w:ascii="Cambria Math" w:hAnsi="Cambria Math"/>
                </w:rPr>
                <m:t>Break-Even Price (ETB kg⁻¹)</m:t>
              </m:r>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rPr>
                        <m:t>Total Cost of Production (ETB ha⁻¹)</m:t>
                      </m:r>
                      <m:r>
                        <m:rPr>
                          <m:sty m:val="p"/>
                        </m:rPr>
                        <w:rPr>
                          <w:rFonts w:ascii="Cambria Math" w:hAnsi="Cambria Math" w:cs="Times New Roman"/>
                        </w:rPr>
                        <m:t>​​</m:t>
                      </m:r>
                    </m:num>
                    <m:den>
                      <m:r>
                        <m:rPr>
                          <m:sty m:val="p"/>
                        </m:rPr>
                        <w:rPr>
                          <w:rFonts w:ascii="Cambria Math" w:hAnsi="Cambria Math"/>
                        </w:rPr>
                        <m:t>Total Yield (kg ha⁻¹)</m:t>
                      </m:r>
                    </m:den>
                  </m:f>
                </m:e>
              </m:d>
            </m:oMath>
            <w:r w:rsidRPr="001A2FAD">
              <w:rPr>
                <w:rFonts w:ascii="Times New Roman" w:hAnsi="Times New Roman" w:cs="Times New Roman"/>
              </w:rPr>
              <w:t xml:space="preserve">       </w:t>
            </w:r>
          </w:p>
        </w:tc>
        <w:tc>
          <w:tcPr>
            <w:tcW w:w="616" w:type="dxa"/>
          </w:tcPr>
          <w:p w14:paraId="41CED7FB" w14:textId="2494E949" w:rsidR="004571A6" w:rsidRDefault="004571A6"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22</w:t>
            </w:r>
            <w:r w:rsidRPr="001A2FAD">
              <w:rPr>
                <w:rFonts w:ascii="Times New Roman" w:hAnsi="Times New Roman" w:cs="Times New Roman"/>
              </w:rPr>
              <w:t>)</w:t>
            </w:r>
          </w:p>
        </w:tc>
      </w:tr>
    </w:tbl>
    <w:p w14:paraId="59B7DF73" w14:textId="77777777" w:rsidR="00D8477A" w:rsidRPr="00D8477A" w:rsidRDefault="00D8477A" w:rsidP="00D8477A">
      <w:pPr>
        <w:pStyle w:val="Heading4"/>
      </w:pPr>
      <w:r>
        <w:t>Margin of Safety (MOS)</w:t>
      </w:r>
    </w:p>
    <w:p w14:paraId="7E041D1C" w14:textId="77777777" w:rsidR="00D8477A" w:rsidRPr="00D8477A" w:rsidRDefault="00D8477A" w:rsidP="00D8477A">
      <w:pPr>
        <w:spacing w:line="360" w:lineRule="auto"/>
        <w:jc w:val="both"/>
        <w:rPr>
          <w:rFonts w:ascii="Times New Roman" w:hAnsi="Times New Roman" w:cs="Times New Roman"/>
        </w:rPr>
      </w:pPr>
      <w:r w:rsidRPr="00D8477A">
        <w:rPr>
          <w:rFonts w:ascii="Times New Roman" w:hAnsi="Times New Roman" w:cs="Times New Roman"/>
        </w:rPr>
        <w:t>Margin of Safety measures how much actual sales exceed the break-even sales level.</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4"/>
        <w:gridCol w:w="616"/>
      </w:tblGrid>
      <w:tr w:rsidR="00D8477A" w14:paraId="78F6B682" w14:textId="77777777" w:rsidTr="00FE2BAB">
        <w:trPr>
          <w:trHeight w:val="458"/>
        </w:trPr>
        <w:tc>
          <w:tcPr>
            <w:tcW w:w="8734" w:type="dxa"/>
          </w:tcPr>
          <w:p w14:paraId="2F953947" w14:textId="36FDE128" w:rsidR="00D8477A" w:rsidRPr="009773C4" w:rsidRDefault="00D8477A" w:rsidP="009C4C9D">
            <w:pPr>
              <w:spacing w:line="360" w:lineRule="auto"/>
              <w:rPr>
                <w:rFonts w:ascii="Times New Roman" w:hAnsi="Times New Roman" w:cs="Times New Roman"/>
              </w:rPr>
            </w:pPr>
            <m:oMath>
              <m:r>
                <m:rPr>
                  <m:sty m:val="p"/>
                </m:rPr>
                <w:rPr>
                  <w:rFonts w:ascii="Cambria Math" w:hAnsi="Cambria Math"/>
                </w:rPr>
                <m:t>Margin of Safety (%)</m:t>
              </m:r>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rPr>
                        <m:t>Actual Sales Revenue - Break-Even Sales Revenue</m:t>
                      </m:r>
                      <m:r>
                        <m:rPr>
                          <m:sty m:val="p"/>
                        </m:rPr>
                        <w:rPr>
                          <w:rFonts w:ascii="Cambria Math" w:hAnsi="Cambria Math" w:cs="Times New Roman"/>
                        </w:rPr>
                        <m:t>​​</m:t>
                      </m:r>
                    </m:num>
                    <m:den>
                      <m:r>
                        <m:rPr>
                          <m:sty m:val="p"/>
                        </m:rPr>
                        <w:rPr>
                          <w:rFonts w:ascii="Cambria Math" w:hAnsi="Cambria Math"/>
                        </w:rPr>
                        <m:t>Actual Sales Revenue</m:t>
                      </m:r>
                    </m:den>
                  </m:f>
                </m:e>
              </m:d>
              <m:r>
                <m:rPr>
                  <m:sty m:val="p"/>
                </m:rPr>
                <w:rPr>
                  <w:rFonts w:ascii="Cambria Math" w:hAnsi="Cambria Math" w:cs="Times New Roman"/>
                </w:rPr>
                <m:t>×100</m:t>
              </m:r>
            </m:oMath>
            <w:r w:rsidRPr="001A2FAD">
              <w:rPr>
                <w:rFonts w:ascii="Times New Roman" w:hAnsi="Times New Roman" w:cs="Times New Roman"/>
              </w:rPr>
              <w:t xml:space="preserve">        </w:t>
            </w:r>
          </w:p>
        </w:tc>
        <w:tc>
          <w:tcPr>
            <w:tcW w:w="616" w:type="dxa"/>
          </w:tcPr>
          <w:p w14:paraId="0AC31484" w14:textId="6A5BAB23" w:rsidR="00D8477A" w:rsidRDefault="00D8477A" w:rsidP="009C4C9D">
            <w:pPr>
              <w:spacing w:line="360" w:lineRule="auto"/>
              <w:jc w:val="right"/>
              <w:rPr>
                <w:rFonts w:ascii="Times New Roman" w:hAnsi="Times New Roman" w:cs="Times New Roman"/>
              </w:rPr>
            </w:pPr>
            <w:r w:rsidRPr="001A2FAD">
              <w:rPr>
                <w:rFonts w:ascii="Times New Roman" w:hAnsi="Times New Roman" w:cs="Times New Roman"/>
              </w:rPr>
              <w:t>(</w:t>
            </w:r>
            <w:r w:rsidR="0033631A">
              <w:rPr>
                <w:rFonts w:ascii="Times New Roman" w:hAnsi="Times New Roman" w:cs="Times New Roman"/>
              </w:rPr>
              <w:t>23</w:t>
            </w:r>
            <w:r w:rsidRPr="001A2FAD">
              <w:rPr>
                <w:rFonts w:ascii="Times New Roman" w:hAnsi="Times New Roman" w:cs="Times New Roman"/>
              </w:rPr>
              <w:t>)</w:t>
            </w:r>
          </w:p>
        </w:tc>
      </w:tr>
    </w:tbl>
    <w:p w14:paraId="2D6707CA" w14:textId="77777777" w:rsidR="0033631A" w:rsidRPr="0033631A" w:rsidRDefault="0033631A" w:rsidP="0033631A">
      <w:pPr>
        <w:pStyle w:val="Heading4"/>
      </w:pPr>
      <w:r>
        <w:t>Payback Period (PP)</w:t>
      </w:r>
    </w:p>
    <w:p w14:paraId="64A29338" w14:textId="77777777" w:rsidR="0033631A" w:rsidRPr="0033631A" w:rsidRDefault="0033631A" w:rsidP="0033631A">
      <w:pPr>
        <w:spacing w:line="360" w:lineRule="auto"/>
        <w:jc w:val="both"/>
        <w:rPr>
          <w:rFonts w:ascii="Times New Roman" w:hAnsi="Times New Roman" w:cs="Times New Roman"/>
        </w:rPr>
      </w:pPr>
      <w:r w:rsidRPr="0033631A">
        <w:rPr>
          <w:rFonts w:ascii="Times New Roman" w:hAnsi="Times New Roman" w:cs="Times New Roman"/>
        </w:rPr>
        <w:t>Payback Period estimates the time required to recover the initial investment from net cash inflows.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4"/>
        <w:gridCol w:w="616"/>
      </w:tblGrid>
      <w:tr w:rsidR="0033631A" w14:paraId="4AA6F424" w14:textId="77777777" w:rsidTr="00FE2BAB">
        <w:trPr>
          <w:trHeight w:val="458"/>
        </w:trPr>
        <w:tc>
          <w:tcPr>
            <w:tcW w:w="8734" w:type="dxa"/>
          </w:tcPr>
          <w:p w14:paraId="4AA9EAD6" w14:textId="7534BB54" w:rsidR="0033631A" w:rsidRPr="009773C4" w:rsidRDefault="0033631A" w:rsidP="009C4C9D">
            <w:pPr>
              <w:spacing w:line="360" w:lineRule="auto"/>
              <w:rPr>
                <w:rFonts w:ascii="Times New Roman" w:hAnsi="Times New Roman" w:cs="Times New Roman"/>
              </w:rPr>
            </w:pPr>
            <m:oMath>
              <m:r>
                <m:rPr>
                  <m:sty m:val="p"/>
                </m:rPr>
                <w:rPr>
                  <w:rFonts w:ascii="Cambria Math" w:hAnsi="Cambria Math"/>
                </w:rPr>
                <m:t>Payback Period (years)</m:t>
              </m:r>
              <m:r>
                <m:rPr>
                  <m:sty m:val="p"/>
                </m:rP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r>
                        <m:rPr>
                          <m:sty m:val="p"/>
                        </m:rPr>
                        <w:rPr>
                          <w:rFonts w:ascii="Cambria Math" w:hAnsi="Cambria Math"/>
                        </w:rPr>
                        <m:t>Initial Investment Cost (ETB)</m:t>
                      </m:r>
                      <m:r>
                        <m:rPr>
                          <m:sty m:val="p"/>
                        </m:rPr>
                        <w:rPr>
                          <w:rFonts w:ascii="Cambria Math" w:hAnsi="Cambria Math" w:cs="Times New Roman"/>
                        </w:rPr>
                        <m:t>​​</m:t>
                      </m:r>
                    </m:num>
                    <m:den>
                      <m:r>
                        <m:rPr>
                          <m:sty m:val="p"/>
                        </m:rPr>
                        <w:rPr>
                          <w:rFonts w:ascii="Cambria Math" w:hAnsi="Cambria Math"/>
                        </w:rPr>
                        <m:t>Annual Net Cash Flow (ETB year⁻¹)</m:t>
                      </m:r>
                    </m:den>
                  </m:f>
                </m:e>
              </m:d>
            </m:oMath>
            <w:r w:rsidRPr="001A2FAD">
              <w:rPr>
                <w:rFonts w:ascii="Times New Roman" w:hAnsi="Times New Roman" w:cs="Times New Roman"/>
              </w:rPr>
              <w:t xml:space="preserve">       </w:t>
            </w:r>
          </w:p>
        </w:tc>
        <w:tc>
          <w:tcPr>
            <w:tcW w:w="616" w:type="dxa"/>
          </w:tcPr>
          <w:p w14:paraId="73A2E137" w14:textId="0206388C" w:rsidR="0033631A" w:rsidRDefault="0033631A" w:rsidP="009C4C9D">
            <w:pPr>
              <w:spacing w:line="360" w:lineRule="auto"/>
              <w:jc w:val="right"/>
              <w:rPr>
                <w:rFonts w:ascii="Times New Roman" w:hAnsi="Times New Roman" w:cs="Times New Roman"/>
              </w:rPr>
            </w:pPr>
            <w:r w:rsidRPr="001A2FAD">
              <w:rPr>
                <w:rFonts w:ascii="Times New Roman" w:hAnsi="Times New Roman" w:cs="Times New Roman"/>
              </w:rPr>
              <w:t>(</w:t>
            </w:r>
            <w:r>
              <w:rPr>
                <w:rFonts w:ascii="Times New Roman" w:hAnsi="Times New Roman" w:cs="Times New Roman"/>
              </w:rPr>
              <w:t>24</w:t>
            </w:r>
            <w:r w:rsidRPr="001A2FAD">
              <w:rPr>
                <w:rFonts w:ascii="Times New Roman" w:hAnsi="Times New Roman" w:cs="Times New Roman"/>
              </w:rPr>
              <w:t>)</w:t>
            </w:r>
          </w:p>
        </w:tc>
      </w:tr>
    </w:tbl>
    <w:p w14:paraId="4554FE86" w14:textId="77777777" w:rsidR="00D46606" w:rsidRPr="001A2FAD" w:rsidRDefault="00D46606" w:rsidP="001A2FAD">
      <w:pPr>
        <w:spacing w:line="360" w:lineRule="auto"/>
        <w:jc w:val="both"/>
        <w:rPr>
          <w:rFonts w:ascii="Times New Roman" w:hAnsi="Times New Roman" w:cs="Times New Roman"/>
        </w:rPr>
      </w:pPr>
    </w:p>
    <w:p w14:paraId="31762E01" w14:textId="77777777" w:rsidR="00C5391D" w:rsidRPr="001A2FAD" w:rsidRDefault="00C5391D" w:rsidP="001A2FAD">
      <w:pPr>
        <w:pStyle w:val="Heading1"/>
        <w:spacing w:line="360" w:lineRule="auto"/>
        <w:jc w:val="both"/>
        <w:rPr>
          <w:rFonts w:cs="Times New Roman"/>
          <w:sz w:val="24"/>
          <w:szCs w:val="24"/>
        </w:rPr>
      </w:pPr>
      <w:r w:rsidRPr="001A2FAD">
        <w:rPr>
          <w:rFonts w:cs="Times New Roman"/>
          <w:sz w:val="24"/>
          <w:szCs w:val="24"/>
        </w:rPr>
        <w:t>RESULTS AND DISCUSSION</w:t>
      </w:r>
    </w:p>
    <w:p w14:paraId="1DCF99A8" w14:textId="77777777" w:rsidR="00C5391D" w:rsidRPr="001A2FAD" w:rsidRDefault="00C5391D" w:rsidP="0030271E">
      <w:pPr>
        <w:pStyle w:val="Heading2"/>
        <w:numPr>
          <w:ilvl w:val="1"/>
          <w:numId w:val="1"/>
        </w:numPr>
        <w:jc w:val="both"/>
        <w:rPr>
          <w:rFonts w:cs="Times New Roman"/>
          <w:szCs w:val="24"/>
        </w:rPr>
      </w:pPr>
      <w:r w:rsidRPr="001A2FAD">
        <w:rPr>
          <w:rFonts w:cs="Times New Roman"/>
          <w:szCs w:val="24"/>
        </w:rPr>
        <w:t xml:space="preserve"> Demographic characteristics</w:t>
      </w:r>
    </w:p>
    <w:p w14:paraId="40468BD6" w14:textId="2DABCFCB"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The demographic profile of onion </w:t>
      </w:r>
      <w:r w:rsidR="00FE2BAB">
        <w:rPr>
          <w:rFonts w:ascii="Times New Roman" w:hAnsi="Times New Roman" w:cs="Times New Roman"/>
        </w:rPr>
        <w:t>producers in the Gebiresu Zone, covering the districts of Amibara, Gelealo, Haruka, and Gewane</w:t>
      </w:r>
      <w:r w:rsidRPr="001A2FAD">
        <w:rPr>
          <w:rFonts w:ascii="Times New Roman" w:hAnsi="Times New Roman" w:cs="Times New Roman"/>
        </w:rPr>
        <w:t>, particularly regarding gender, education level, family size, and age of respondents (N=200), was presented in Figure 1. These factors can have significant implications for farm management practices, labor availability, decision-making, and overall productivity.</w:t>
      </w:r>
    </w:p>
    <w:p w14:paraId="6D6F675B" w14:textId="77777777" w:rsidR="00C5391D" w:rsidRPr="001A2FAD" w:rsidRDefault="00C5391D" w:rsidP="0030271E">
      <w:pPr>
        <w:pStyle w:val="Heading3"/>
        <w:numPr>
          <w:ilvl w:val="2"/>
          <w:numId w:val="1"/>
        </w:numPr>
        <w:jc w:val="both"/>
        <w:rPr>
          <w:rFonts w:cs="Times New Roman"/>
          <w:szCs w:val="24"/>
        </w:rPr>
      </w:pPr>
      <w:r w:rsidRPr="001A2FAD">
        <w:rPr>
          <w:rFonts w:cs="Times New Roman"/>
          <w:szCs w:val="24"/>
        </w:rPr>
        <w:t>Gender of Household</w:t>
      </w:r>
    </w:p>
    <w:p w14:paraId="65DD0D5C" w14:textId="538ECBA4"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Figure 1 </w:t>
      </w:r>
      <w:r w:rsidR="00FE2BAB">
        <w:rPr>
          <w:rFonts w:ascii="Times New Roman" w:hAnsi="Times New Roman" w:cs="Times New Roman"/>
        </w:rPr>
        <w:t>shows that the majority of respondents were male (89.5%), while females accounted for</w:t>
      </w:r>
      <w:r w:rsidRPr="001A2FAD">
        <w:rPr>
          <w:rFonts w:ascii="Times New Roman" w:hAnsi="Times New Roman" w:cs="Times New Roman"/>
        </w:rPr>
        <w:t xml:space="preserve"> only 10.5% of the sampled households. The high male representation suggests that onion farming in the study area is predominantly male-dominated, likely reflecting traditional gender roles in agricultural activities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&lt;EndNote&gt;&lt;Cite&gt;&lt;Author&gt;Devi&lt;/Author&gt;&lt;Year&gt;2009&lt;/Year&gt;&lt;RecNum&gt;21&lt;/RecNum&gt;&lt;DisplayText&gt;(Devi, Buechler, &amp;amp; Food Security. Practical Action, 2009)&lt;/DisplayText&gt;&lt;record&gt;&lt;rec-number&gt;21&lt;/rec-number&gt;&lt;foreign-keys&gt;&lt;key app="EN" db-id="x2savr2skzpztmesfatpfzd7x5rp5ze0d2df" timestamp="1736931445"&gt;21&lt;/key&gt;&lt;/foreign-keys&gt;&lt;ref-type name="Journal Article"&gt;17&lt;/ref-type&gt;&lt;contributors&gt;&lt;authors&gt;&lt;author&gt;Devi, Gayathri&lt;/author&gt;&lt;author&gt;Buechler, Stephanie %J Women Feeding Cities: Mainstreaming Gender in Urban Agriculture&lt;/author&gt;&lt;author&gt;Food Security. Practical Action, London&lt;/author&gt;&lt;/authors&gt;&lt;/contributors&gt;&lt;titles&gt;&lt;title&gt;Gender dimensions of urban and peri-urban agriculture in Hyderabad, India&lt;/title&gt;&lt;/titles&gt;&lt;pages&gt;35-50&lt;/pages&gt;&lt;dates&gt;&lt;year&gt;2009&lt;/year&gt;&lt;/dates&gt;&lt;urls&gt;&lt;/urls&gt;&lt;/record&gt;&lt;/Cite&gt;&lt;/EndNote&gt;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(Devi, Buechler, &amp; Food Security. Practical Action, 2009)</w:t>
      </w:r>
      <w:r w:rsidRPr="001A2FAD">
        <w:rPr>
          <w:rFonts w:ascii="Times New Roman" w:hAnsi="Times New Roman" w:cs="Times New Roman"/>
        </w:rPr>
        <w:fldChar w:fldCharType="end"/>
      </w:r>
      <w:r w:rsidRPr="001A2FAD">
        <w:rPr>
          <w:rFonts w:ascii="Times New Roman" w:hAnsi="Times New Roman" w:cs="Times New Roman"/>
        </w:rPr>
        <w:t xml:space="preserve">. Male-headed households are often associated with better access to resources, including land and capital, as </w:t>
      </w:r>
      <w:r w:rsidRPr="001A2FAD">
        <w:rPr>
          <w:rFonts w:ascii="Times New Roman" w:hAnsi="Times New Roman" w:cs="Times New Roman"/>
        </w:rPr>
        <w:lastRenderedPageBreak/>
        <w:t xml:space="preserve">compared to female-headed households, which could influence farm productivity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&lt;EndNote&gt;&lt;Cite&gt;&lt;Author&gt;Githinji&lt;/Author&gt;&lt;Year&gt;2011&lt;/Year&gt;&lt;RecNum&gt;22&lt;/RecNum&gt;&lt;DisplayText&gt;(Githinji, Konstantinidis, &amp;amp; Barenberg, 2011)&lt;/DisplayText&gt;&lt;record&gt;&lt;rec-number&gt;22&lt;/rec-number&gt;&lt;foreign-keys&gt;&lt;key app="EN" db-id="x2savr2skzpztmesfatpfzd7x5rp5ze0d2df" timestamp="1736931546"&gt;22&lt;/key&gt;&lt;/foreign-keys&gt;&lt;ref-type name="Journal Article"&gt;17&lt;/ref-type&gt;&lt;contributors&gt;&lt;authors&gt;&lt;author&gt;Githinji, Mwangi&lt;/author&gt;&lt;author&gt;Konstantinidis, Charalampos&lt;/author&gt;&lt;author&gt;Barenberg, Andrew %J Economics Department Working Paper Series&lt;/author&gt;&lt;/authors&gt;&lt;/contributors&gt;&lt;titles&gt;&lt;title&gt;Small and as productive: Female-headed households and the inverse relationship between land size and output in Kenya&lt;/title&gt;&lt;/titles&gt;&lt;pages&gt;21&lt;/pages&gt;&lt;volume&gt;139&lt;/volume&gt;&lt;dates&gt;&lt;year&gt;2011&lt;/year&gt;&lt;/dates&gt;&lt;urls&gt;&lt;/urls&gt;&lt;electronic-resource-num&gt;https://doi.org/10.7275/3317892 &lt;/electronic-resource-num&gt;&lt;/record&gt;&lt;/Cite&gt;&lt;/EndNote&gt;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(Githinji, Konstantinidis, &amp; Barenberg, 2011)</w:t>
      </w:r>
      <w:r w:rsidRPr="001A2FAD">
        <w:rPr>
          <w:rFonts w:ascii="Times New Roman" w:hAnsi="Times New Roman" w:cs="Times New Roman"/>
        </w:rPr>
        <w:fldChar w:fldCharType="end"/>
      </w:r>
      <w:r w:rsidRPr="001A2FAD">
        <w:rPr>
          <w:rFonts w:ascii="Times New Roman" w:hAnsi="Times New Roman" w:cs="Times New Roman"/>
        </w:rPr>
        <w:t>.</w:t>
      </w:r>
    </w:p>
    <w:p w14:paraId="6C5673A3" w14:textId="77777777" w:rsidR="00C5391D" w:rsidRPr="001A2FAD" w:rsidRDefault="00C5391D" w:rsidP="0030271E">
      <w:pPr>
        <w:pStyle w:val="Heading3"/>
        <w:numPr>
          <w:ilvl w:val="2"/>
          <w:numId w:val="1"/>
        </w:numPr>
        <w:jc w:val="both"/>
        <w:rPr>
          <w:rFonts w:cs="Times New Roman"/>
          <w:szCs w:val="24"/>
        </w:rPr>
      </w:pPr>
      <w:r w:rsidRPr="001A2FAD">
        <w:rPr>
          <w:rFonts w:cs="Times New Roman"/>
          <w:szCs w:val="24"/>
        </w:rPr>
        <w:t>Education</w:t>
      </w:r>
    </w:p>
    <w:p w14:paraId="4B9F1FA9" w14:textId="77777777"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The education levels of respondents were diverse, with 26.5% of respondents being illiterate and 24.5% having attained education beyond grade 12. High school and elementary school graduates accounted for 20.5% and 15%, respectively. The highest percentage of literate respondents (32%) was observed in Gelealo district, while Gewane had the highest proportion of illiterate respondents (32%).</w:t>
      </w:r>
    </w:p>
    <w:p w14:paraId="328E8284" w14:textId="6F42A880"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Education plays a pivotal role in the adoption of improved farming practices and technology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&lt;EndNote&gt;&lt;Cite&gt;&lt;Author&gt;Admassie&lt;/Author&gt;&lt;Year&gt;2010&lt;/Year&gt;&lt;RecNum&gt;24&lt;/RecNum&gt;&lt;DisplayText&gt;(Admassie &amp;amp; Ayele, 2010)&lt;/DisplayText&gt;&lt;record&gt;&lt;rec-number&gt;24&lt;/rec-number&gt;&lt;foreign-keys&gt;&lt;key app="EN" db-id="x2savr2skzpztmesfatpfzd7x5rp5ze0d2df" timestamp="1736931714"&gt;24&lt;/key&gt;&lt;/foreign-keys&gt;&lt;ref-type name="Journal Article"&gt;17&lt;/ref-type&gt;&lt;contributors&gt;&lt;authors&gt;&lt;author&gt;Admassie, Assefa&lt;/author&gt;&lt;author&gt;Ayele, Gezahegn %J Ethiopian Journal of Economics&lt;/author&gt;&lt;/authors&gt;&lt;/contributors&gt;&lt;titles&gt;&lt;title&gt;Adoption of improved technology in Ethiopia&lt;/title&gt;&lt;/titles&gt;&lt;pages&gt;155-179&lt;/pages&gt;&lt;volume&gt;19&lt;/volume&gt;&lt;number&gt;1&lt;/number&gt;&lt;dates&gt;&lt;year&gt;2010&lt;/year&gt;&lt;/dates&gt;&lt;isbn&gt;1993-3681&lt;/isbn&gt;&lt;urls&gt;&lt;/urls&gt;&lt;electronic-resource-num&gt;10.4314/eje.v19i1.71416&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(Admassie &amp; Ayele, 2010)</w:t>
      </w:r>
      <w:r w:rsidRPr="001A2FAD">
        <w:rPr>
          <w:rFonts w:ascii="Times New Roman" w:hAnsi="Times New Roman" w:cs="Times New Roman"/>
        </w:rPr>
        <w:fldChar w:fldCharType="end"/>
      </w:r>
      <w:r w:rsidRPr="001A2FAD">
        <w:rPr>
          <w:rFonts w:ascii="Times New Roman" w:hAnsi="Times New Roman" w:cs="Times New Roman"/>
        </w:rPr>
        <w:t xml:space="preserve">. </w:t>
      </w:r>
      <w:r w:rsidR="0098404B" w:rsidRPr="001A2FAD">
        <w:rPr>
          <w:rFonts w:ascii="Times New Roman" w:hAnsi="Times New Roman" w:cs="Times New Roman"/>
        </w:rPr>
        <w:t>Producers</w:t>
      </w:r>
      <w:r w:rsidRPr="001A2FAD">
        <w:rPr>
          <w:rFonts w:ascii="Times New Roman" w:hAnsi="Times New Roman" w:cs="Times New Roman"/>
        </w:rPr>
        <w:t xml:space="preserve"> with higher education levels </w:t>
      </w:r>
      <w:r w:rsidR="00FE2BAB">
        <w:rPr>
          <w:rFonts w:ascii="Times New Roman" w:hAnsi="Times New Roman" w:cs="Times New Roman"/>
        </w:rPr>
        <w:t>are</w:t>
      </w:r>
      <w:r w:rsidRPr="001A2FAD">
        <w:rPr>
          <w:rFonts w:ascii="Times New Roman" w:hAnsi="Times New Roman" w:cs="Times New Roman"/>
        </w:rPr>
        <w:t xml:space="preserve"> more likely to implement efficient resource use, manage production risks, and access market information. For instance, Gewane's relatively high illiteracy rate may hinder the adoption of innovative practices, potentially affecting productivity and profitability.</w:t>
      </w:r>
    </w:p>
    <w:p w14:paraId="2031DFEA" w14:textId="77777777" w:rsidR="00C5391D" w:rsidRPr="001A2FAD" w:rsidRDefault="00C5391D" w:rsidP="0030271E">
      <w:pPr>
        <w:pStyle w:val="Heading3"/>
        <w:numPr>
          <w:ilvl w:val="2"/>
          <w:numId w:val="1"/>
        </w:numPr>
        <w:jc w:val="both"/>
        <w:rPr>
          <w:rFonts w:cs="Times New Roman"/>
          <w:szCs w:val="24"/>
        </w:rPr>
      </w:pPr>
      <w:r w:rsidRPr="001A2FAD">
        <w:rPr>
          <w:rFonts w:cs="Times New Roman"/>
          <w:szCs w:val="24"/>
        </w:rPr>
        <w:t>Family Size</w:t>
      </w:r>
    </w:p>
    <w:p w14:paraId="3467E54E" w14:textId="77777777"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The majority of households (73.5%) had small family sizes of 1 to 3 members. Households with larger family sizes of 4 to 6 and above 6 accounted for 14% and 12.5%, respectively. Gelealo district reported the highest proportion of small family sizes (84%), while Amibara had the highest proportion of larger families (28%).</w:t>
      </w:r>
    </w:p>
    <w:p w14:paraId="10D4BE40" w14:textId="0711AFCF"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Family size is a critical determinant of household labor availability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&lt;EndNote&gt;&lt;Cite&gt;&lt;Author&gt;Bedemo&lt;/Author&gt;&lt;Year&gt;2013&lt;/Year&gt;&lt;RecNum&gt;25&lt;/RecNum&gt;&lt;DisplayText&gt;(Bedemo, Getnet, &amp;amp; Kassa, 2013)&lt;/DisplayText&gt;&lt;record&gt;&lt;rec-number&gt;25&lt;/rec-number&gt;&lt;foreign-keys&gt;&lt;key app="EN" db-id="x2savr2skzpztmesfatpfzd7x5rp5ze0d2df" timestamp="1736931826"&gt;25&lt;/key&gt;&lt;/foreign-keys&gt;&lt;ref-type name="Journal Article"&gt;17&lt;/ref-type&gt;&lt;contributors&gt;&lt;authors&gt;&lt;author&gt;Bedemo, Amsalu&lt;/author&gt;&lt;author&gt;Getnet, Kindie&lt;/author&gt;&lt;author&gt;Kassa, Belay %J Australian Journal of Labour Economics&lt;/author&gt;&lt;/authors&gt;&lt;/contributors&gt;&lt;titles&gt;&lt;title&gt;Determinants of household demand for and supply of farm labour in rural Ethiopia&lt;/title&gt;&lt;/titles&gt;&lt;pages&gt;351-367&lt;/pages&gt;&lt;volume&gt;16&lt;/volume&gt;&lt;number&gt;3&lt;/number&gt;&lt;dates&gt;&lt;year&gt;2013&lt;/year&gt;&lt;/dates&gt;&lt;isbn&gt;1328-1143&lt;/isbn&gt;&lt;urls&gt;&lt;/urls&gt;&lt;electronic-resource-num&gt;https://search.informit.org/doi/10.3316/informit.811524352757599&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(Bedemo, Getnet, &amp; Kassa, 2013)</w:t>
      </w:r>
      <w:r w:rsidRPr="001A2FAD">
        <w:rPr>
          <w:rFonts w:ascii="Times New Roman" w:hAnsi="Times New Roman" w:cs="Times New Roman"/>
        </w:rPr>
        <w:fldChar w:fldCharType="end"/>
      </w:r>
      <w:r w:rsidRPr="001A2FAD">
        <w:rPr>
          <w:rFonts w:ascii="Times New Roman" w:hAnsi="Times New Roman" w:cs="Times New Roman"/>
        </w:rPr>
        <w:t xml:space="preserve">. Smaller households may face labor constraints, especially during labor-intensive periods like planting and harvesting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&lt;EndNote&gt;&lt;Cite&gt;&lt;Author&gt;Nolte&lt;/Author&gt;&lt;Year&gt;2017&lt;/Year&gt;&lt;RecNum&gt;26&lt;/RecNum&gt;&lt;DisplayText&gt;(Nolte &amp;amp; Ostermeier, 2017)&lt;/DisplayText&gt;&lt;record&gt;&lt;rec-number&gt;26&lt;/rec-number&gt;&lt;foreign-keys&gt;&lt;key app="EN" db-id="x2savr2skzpztmesfatpfzd7x5rp5ze0d2df" timestamp="1736931875"&gt;26&lt;/key&gt;&lt;/foreign-keys&gt;&lt;ref-type name="Journal Article"&gt;17&lt;/ref-type&gt;&lt;contributors&gt;&lt;authors&gt;&lt;author&gt;Nolte, Kerstin&lt;/author&gt;&lt;author&gt;Ostermeier, Martin %J World Development&lt;/author&gt;&lt;/authors&gt;&lt;/contributors&gt;&lt;titles&gt;&lt;title&gt;Labour market effects of large-scale agricultural investment: conceptual considerations and estimated employment effects&lt;/title&gt;&lt;/titles&gt;&lt;pages&gt;430-446&lt;/pages&gt;&lt;volume&gt;98&lt;/volume&gt;&lt;dates&gt;&lt;year&gt;2017&lt;/year&gt;&lt;/dates&gt;&lt;isbn&gt;0305-750X&lt;/isbn&gt;&lt;urls&gt;&lt;/urls&gt;&lt;electronic-resource-num&gt;https://doi.org/10.1016/j.worlddev.2017.05.012&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(Nolte &amp; Ostermeier, 2017)</w:t>
      </w:r>
      <w:r w:rsidRPr="001A2FAD">
        <w:rPr>
          <w:rFonts w:ascii="Times New Roman" w:hAnsi="Times New Roman" w:cs="Times New Roman"/>
        </w:rPr>
        <w:fldChar w:fldCharType="end"/>
      </w:r>
      <w:r w:rsidRPr="001A2FAD">
        <w:rPr>
          <w:rFonts w:ascii="Times New Roman" w:hAnsi="Times New Roman" w:cs="Times New Roman"/>
        </w:rPr>
        <w:t xml:space="preserve">. This could result in higher reliance on hired labor, thereby increasing production costs. On the other hand, larger families could reduce labor costs but may increase household consumption needs, potentially affecting the allocation of income to farm inputs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&lt;EndNote&gt;&lt;Cite&gt;&lt;Author&gt;Cornia&lt;/Author&gt;&lt;Year&gt;1985&lt;/Year&gt;&lt;RecNum&gt;27&lt;/RecNum&gt;&lt;DisplayText&gt;(Cornia, 1985)&lt;/DisplayText&gt;&lt;record&gt;&lt;rec-number&gt;27&lt;/rec-number&gt;&lt;foreign-keys&gt;&lt;key app="EN" db-id="x2savr2skzpztmesfatpfzd7x5rp5ze0d2df" timestamp="1736931946"&gt;27&lt;/key&gt;&lt;/foreign-keys&gt;&lt;ref-type name="Journal Article"&gt;17&lt;/ref-type&gt;&lt;contributors&gt;&lt;authors&gt;&lt;author&gt;Cornia, Giovanni Andrea %J World development&lt;/author&gt;&lt;/authors&gt;&lt;/contributors&gt;&lt;titles&gt;&lt;title&gt;Farm size, land yields and the agricultural production function: An analysis for fifteen developing countries&lt;/title&gt;&lt;/titles&gt;&lt;pages&gt;513-534&lt;/pages&gt;&lt;volume&gt;13&lt;/volume&gt;&lt;number&gt;4&lt;/number&gt;&lt;dates&gt;&lt;year&gt;1985&lt;/year&gt;&lt;/dates&gt;&lt;isbn&gt;0305-750X&lt;/isbn&gt;&lt;urls&gt;&lt;/urls&gt;&lt;electronic-resource-num&gt;https://doi.org/10.1016/0305-750X(85)90054-3&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(Cornia, 1985)</w:t>
      </w:r>
      <w:r w:rsidRPr="001A2FAD">
        <w:rPr>
          <w:rFonts w:ascii="Times New Roman" w:hAnsi="Times New Roman" w:cs="Times New Roman"/>
        </w:rPr>
        <w:fldChar w:fldCharType="end"/>
      </w:r>
      <w:r w:rsidRPr="001A2FAD">
        <w:rPr>
          <w:rFonts w:ascii="Times New Roman" w:hAnsi="Times New Roman" w:cs="Times New Roman"/>
        </w:rPr>
        <w:t>.</w:t>
      </w:r>
    </w:p>
    <w:p w14:paraId="4C9359B7" w14:textId="77777777" w:rsidR="00C5391D" w:rsidRPr="001A2FAD" w:rsidRDefault="00C5391D" w:rsidP="0030271E">
      <w:pPr>
        <w:pStyle w:val="Heading3"/>
        <w:numPr>
          <w:ilvl w:val="2"/>
          <w:numId w:val="1"/>
        </w:numPr>
        <w:jc w:val="both"/>
        <w:rPr>
          <w:rFonts w:cs="Times New Roman"/>
          <w:szCs w:val="24"/>
        </w:rPr>
      </w:pPr>
      <w:r w:rsidRPr="001A2FAD">
        <w:rPr>
          <w:rFonts w:cs="Times New Roman"/>
          <w:szCs w:val="24"/>
        </w:rPr>
        <w:t>Age of Respondents</w:t>
      </w:r>
    </w:p>
    <w:p w14:paraId="4BE5B1B9" w14:textId="77777777"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The age distribution of respondents showed that 71% were within the economically active age group of 25 to 40 years. Respondents aged 41 to 60 and 61 to 80 constituted 19.5% and 9.5%, respectively. Haruka had the highest proportion of respondents aged 25 to 40 (82%), while Amibara had the largest proportion of respondents aged 61 to 80 (16%).</w:t>
      </w:r>
    </w:p>
    <w:p w14:paraId="45DFE3CB" w14:textId="5F5D56D5"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lastRenderedPageBreak/>
        <w:t xml:space="preserve">Younger </w:t>
      </w:r>
      <w:r w:rsidR="0098404B" w:rsidRPr="001A2FAD">
        <w:rPr>
          <w:rFonts w:ascii="Times New Roman" w:hAnsi="Times New Roman" w:cs="Times New Roman"/>
        </w:rPr>
        <w:t>producers</w:t>
      </w:r>
      <w:r w:rsidRPr="001A2FAD">
        <w:rPr>
          <w:rFonts w:ascii="Times New Roman" w:hAnsi="Times New Roman" w:cs="Times New Roman"/>
        </w:rPr>
        <w:t xml:space="preserve"> are generally more energetic, innovative, and willing to adopt new farming techniques, which can enhance productivity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&lt;EndNote&gt;&lt;Cite&gt;&lt;Author&gt;Kale&lt;/Author&gt;&lt;Year&gt;2024&lt;/Year&gt;&lt;RecNum&gt;28&lt;/RecNum&gt;&lt;DisplayText&gt;(Kale et al., 2024)&lt;/DisplayText&gt;&lt;record&gt;&lt;rec-number&gt;28&lt;/rec-number&gt;&lt;foreign-keys&gt;&lt;key app="EN" db-id="x2savr2skzpztmesfatpfzd7x5rp5ze0d2df" timestamp="1736932187"&gt;28&lt;/key&gt;&lt;/foreign-keys&gt;&lt;ref-type name="Journal Article"&gt;17&lt;/ref-type&gt;&lt;contributors&gt;&lt;authors&gt;&lt;author&gt;Kale, Rajiv B&lt;/author&gt;&lt;author&gt;Gavhane, Abhishek D&lt;/author&gt;&lt;author&gt;Thorat, Vishal S&lt;/author&gt;&lt;author&gt;Gadge, SS&lt;/author&gt;&lt;author&gt;Wayal, Sagar M&lt;/author&gt;&lt;author&gt;Gaikwad, Shivam Y&lt;/author&gt;&lt;author&gt;Singh, Sharadveer&lt;/author&gt;&lt;author&gt;Khandagale, Kiran S&lt;/author&gt;&lt;author&gt;Bhat, Rohini&lt;/author&gt;&lt;author&gt;Mahajan, Vijay %J BMC Plant Biology&lt;/author&gt;&lt;/authors&gt;&lt;/contributors&gt;&lt;titles&gt;&lt;title&gt;Efficiency dynamics among onion growers in Maharashtra: a comparative analysis of drip irrigation adopters and non-adopters&lt;/title&gt;&lt;/titles&gt;&lt;pages&gt;237&lt;/pages&gt;&lt;volume&gt;24&lt;/volume&gt;&lt;number&gt;1&lt;/number&gt;&lt;dates&gt;&lt;year&gt;2024&lt;/year&gt;&lt;/dates&gt;&lt;isbn&gt;1471-2229&lt;/isbn&gt;&lt;urls&gt;&lt;/urls&gt;&lt;electronic-resource-num&gt;https://doi.org/10.1186/s12870-024-04875-2&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(Kale et al., 2024)</w:t>
      </w:r>
      <w:r w:rsidRPr="001A2FAD">
        <w:rPr>
          <w:rFonts w:ascii="Times New Roman" w:hAnsi="Times New Roman" w:cs="Times New Roman"/>
        </w:rPr>
        <w:fldChar w:fldCharType="end"/>
      </w:r>
      <w:r w:rsidRPr="001A2FAD">
        <w:rPr>
          <w:rFonts w:ascii="Times New Roman" w:hAnsi="Times New Roman" w:cs="Times New Roman"/>
        </w:rPr>
        <w:t xml:space="preserve">. </w:t>
      </w:r>
    </w:p>
    <w:p w14:paraId="3932B791" w14:textId="77777777" w:rsidR="00C5391D" w:rsidRPr="001A2FAD" w:rsidRDefault="00C5391D" w:rsidP="001A2FAD">
      <w:pPr>
        <w:keepNext/>
        <w:spacing w:line="360" w:lineRule="auto"/>
        <w:jc w:val="both"/>
        <w:rPr>
          <w:rFonts w:ascii="Times New Roman" w:hAnsi="Times New Roman" w:cs="Times New Roman"/>
        </w:rPr>
      </w:pPr>
      <w:r w:rsidRPr="001A2FAD">
        <w:rPr>
          <w:rFonts w:ascii="Times New Roman" w:hAnsi="Times New Roman" w:cs="Times New Roman"/>
          <w:noProof/>
          <w:lang w:eastAsia="en-US"/>
        </w:rPr>
        <w:drawing>
          <wp:inline distT="0" distB="0" distL="0" distR="0" wp14:anchorId="0CDA2399" wp14:editId="27946A6B">
            <wp:extent cx="5848350" cy="5356860"/>
            <wp:effectExtent l="0" t="0" r="0" b="0"/>
            <wp:docPr id="1547849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48767" cy="5357242"/>
                    </a:xfrm>
                    <a:prstGeom prst="rect">
                      <a:avLst/>
                    </a:prstGeom>
                    <a:noFill/>
                    <a:ln>
                      <a:noFill/>
                    </a:ln>
                  </pic:spPr>
                </pic:pic>
              </a:graphicData>
            </a:graphic>
          </wp:inline>
        </w:drawing>
      </w:r>
    </w:p>
    <w:p w14:paraId="69B900D4" w14:textId="1400F325" w:rsidR="00C5391D" w:rsidRPr="001A2FAD" w:rsidRDefault="00C5391D" w:rsidP="001A2FAD">
      <w:pPr>
        <w:spacing w:line="240" w:lineRule="auto"/>
        <w:jc w:val="both"/>
        <w:rPr>
          <w:rFonts w:ascii="Times New Roman" w:hAnsi="Times New Roman" w:cs="Times New Roman"/>
        </w:rPr>
      </w:pPr>
      <w:r w:rsidRPr="001A2FAD">
        <w:rPr>
          <w:rFonts w:ascii="Times New Roman" w:hAnsi="Times New Roman" w:cs="Times New Roman"/>
        </w:rPr>
        <w:t xml:space="preserve">Figure </w:t>
      </w:r>
      <w:r w:rsidRPr="001A2FAD">
        <w:rPr>
          <w:rFonts w:ascii="Times New Roman" w:hAnsi="Times New Roman" w:cs="Times New Roman"/>
        </w:rPr>
        <w:fldChar w:fldCharType="begin"/>
      </w:r>
      <w:r w:rsidRPr="001A2FAD">
        <w:rPr>
          <w:rFonts w:ascii="Times New Roman" w:hAnsi="Times New Roman" w:cs="Times New Roman"/>
        </w:rPr>
        <w:instrText xml:space="preserve"> SEQ Figure \* ARABIC </w:instrText>
      </w:r>
      <w:r w:rsidRPr="001A2FAD">
        <w:rPr>
          <w:rFonts w:ascii="Times New Roman" w:hAnsi="Times New Roman" w:cs="Times New Roman"/>
        </w:rPr>
        <w:fldChar w:fldCharType="separate"/>
      </w:r>
      <w:r w:rsidR="000B66C7" w:rsidRPr="001A2FAD">
        <w:rPr>
          <w:rFonts w:ascii="Times New Roman" w:hAnsi="Times New Roman" w:cs="Times New Roman"/>
          <w:noProof/>
        </w:rPr>
        <w:t>1</w:t>
      </w:r>
      <w:r w:rsidRPr="001A2FAD">
        <w:rPr>
          <w:rFonts w:ascii="Times New Roman" w:hAnsi="Times New Roman" w:cs="Times New Roman"/>
        </w:rPr>
        <w:fldChar w:fldCharType="end"/>
      </w:r>
      <w:r w:rsidRPr="001A2FAD">
        <w:rPr>
          <w:rFonts w:ascii="Times New Roman" w:hAnsi="Times New Roman" w:cs="Times New Roman"/>
        </w:rPr>
        <w:t>: Demographic profile of the study area Across Districts (N=200)</w:t>
      </w:r>
    </w:p>
    <w:p w14:paraId="7961A5F8" w14:textId="77777777" w:rsidR="00C5391D" w:rsidRPr="001A2FAD" w:rsidRDefault="00C5391D" w:rsidP="0030271E">
      <w:pPr>
        <w:pStyle w:val="Heading2"/>
        <w:numPr>
          <w:ilvl w:val="1"/>
          <w:numId w:val="1"/>
        </w:numPr>
        <w:jc w:val="both"/>
        <w:rPr>
          <w:rFonts w:cs="Times New Roman"/>
          <w:szCs w:val="24"/>
        </w:rPr>
      </w:pPr>
      <w:r w:rsidRPr="001A2FAD">
        <w:rPr>
          <w:rFonts w:cs="Times New Roman"/>
          <w:szCs w:val="24"/>
        </w:rPr>
        <w:t xml:space="preserve"> Land holding and experience in onion seed production</w:t>
      </w:r>
    </w:p>
    <w:p w14:paraId="32291CF2" w14:textId="77777777"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The data in Figure 2 provides a detailed breakdown of onion seed farming experience across the districts of Amibara, Gelealo, Haruka, and Gewane in Gebiresu Zone. The data provides critical insights into resource utilization, production expertise, and their implications for the economic performance of onion seed farming.</w:t>
      </w:r>
    </w:p>
    <w:p w14:paraId="6E484182" w14:textId="77777777" w:rsidR="00C5391D" w:rsidRPr="001A2FAD" w:rsidRDefault="00C5391D" w:rsidP="0030271E">
      <w:pPr>
        <w:pStyle w:val="Heading3"/>
        <w:numPr>
          <w:ilvl w:val="2"/>
          <w:numId w:val="1"/>
        </w:numPr>
        <w:jc w:val="both"/>
        <w:rPr>
          <w:rFonts w:cs="Times New Roman"/>
          <w:szCs w:val="24"/>
        </w:rPr>
      </w:pPr>
      <w:r w:rsidRPr="001A2FAD">
        <w:rPr>
          <w:rFonts w:cs="Times New Roman"/>
          <w:szCs w:val="24"/>
        </w:rPr>
        <w:lastRenderedPageBreak/>
        <w:t>Land Allocated for Onion Bulb Production</w:t>
      </w:r>
    </w:p>
    <w:p w14:paraId="65061102" w14:textId="77777777"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Figure 2 shows that 53% of respondents allocated more than 1 hectare of land for onion bulb production, while only 0.5% allocated less than 0.25 hectares. Most respondents (23.5%) allocated between 0.75 and 1 hectares, while smaller portions of land (0.25–0.5 and &gt;0.5–0.75 hectares) accounted for 8% and 15%, respectively. Gewane had the highest proportion of respondents allocating over 1 hectare (62%), followed by Gelealo (58%).</w:t>
      </w:r>
    </w:p>
    <w:p w14:paraId="34C77270" w14:textId="4228D211"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The significant land allocation for onion production indicates the economic importance of the crop in the study area. </w:t>
      </w:r>
      <w:r w:rsidR="00264030" w:rsidRPr="001A2FAD">
        <w:rPr>
          <w:rFonts w:ascii="Times New Roman" w:hAnsi="Times New Roman" w:cs="Times New Roman"/>
        </w:rPr>
        <w:t>Producers</w:t>
      </w:r>
      <w:r w:rsidRPr="001A2FAD">
        <w:rPr>
          <w:rFonts w:ascii="Times New Roman" w:hAnsi="Times New Roman" w:cs="Times New Roman"/>
        </w:rPr>
        <w:t xml:space="preserve"> who </w:t>
      </w:r>
      <w:r w:rsidR="00FE2BAB">
        <w:rPr>
          <w:rFonts w:ascii="Times New Roman" w:hAnsi="Times New Roman" w:cs="Times New Roman"/>
        </w:rPr>
        <w:t>allocate</w:t>
      </w:r>
      <w:r w:rsidRPr="001A2FAD">
        <w:rPr>
          <w:rFonts w:ascii="Times New Roman" w:hAnsi="Times New Roman" w:cs="Times New Roman"/>
        </w:rPr>
        <w:t xml:space="preserve"> larger lands are likely commercial </w:t>
      </w:r>
      <w:r w:rsidR="0098404B" w:rsidRPr="001A2FAD">
        <w:rPr>
          <w:rFonts w:ascii="Times New Roman" w:hAnsi="Times New Roman" w:cs="Times New Roman"/>
        </w:rPr>
        <w:t>producers</w:t>
      </w:r>
      <w:r w:rsidRPr="001A2FAD">
        <w:rPr>
          <w:rFonts w:ascii="Times New Roman" w:hAnsi="Times New Roman" w:cs="Times New Roman"/>
        </w:rPr>
        <w:t xml:space="preserve"> with higher production and income potential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&lt;EndNote&gt;&lt;Cite&gt;&lt;Author&gt;Embaye&lt;/Author&gt;&lt;Year&gt;2018&lt;/Year&gt;&lt;RecNum&gt;30&lt;/RecNum&gt;&lt;DisplayText&gt;(Embaye et al., 2018)&lt;/DisplayText&gt;&lt;record&gt;&lt;rec-number&gt;30&lt;/rec-number&gt;&lt;foreign-keys&gt;&lt;key app="EN" db-id="x2savr2skzpztmesfatpfzd7x5rp5ze0d2df" timestamp="1736932646"&gt;30&lt;/key&gt;&lt;/foreign-keys&gt;&lt;ref-type name="Journal Article"&gt;17&lt;/ref-type&gt;&lt;contributors&gt;&lt;authors&gt;&lt;author&gt;Embaye, Weldensie T&lt;/author&gt;&lt;author&gt;Bergtold, Jason S&lt;/author&gt;&lt;author&gt;Archer, David&lt;/author&gt;&lt;author&gt;Flora, Cornelia&lt;/author&gt;&lt;author&gt;Andrango, Graciela C&lt;/author&gt;&lt;author&gt;Odening, Marting&lt;/author&gt;&lt;author&gt;Buysse, Jeroen %J Energy Economics&lt;/author&gt;&lt;/authors&gt;&lt;/contributors&gt;&lt;titles&gt;&lt;title&gt;Examining farmers&amp;apos; willingness to grow and allocate land for oilseed crops for biofuel production&lt;/title&gt;&lt;/titles&gt;&lt;pages&gt;311-320&lt;/pages&gt;&lt;volume&gt;71&lt;/volume&gt;&lt;dates&gt;&lt;year&gt;2018&lt;/year&gt;&lt;/dates&gt;&lt;isbn&gt;0140-9883&lt;/isbn&gt;&lt;urls&gt;&lt;/urls&gt;&lt;electronic-resource-num&gt;https://doi.org/10.1016/j.eneco.2018.03.005&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(Embaye et al., 2018)</w:t>
      </w:r>
      <w:r w:rsidRPr="001A2FAD">
        <w:rPr>
          <w:rFonts w:ascii="Times New Roman" w:hAnsi="Times New Roman" w:cs="Times New Roman"/>
        </w:rPr>
        <w:fldChar w:fldCharType="end"/>
      </w:r>
      <w:r w:rsidRPr="001A2FAD">
        <w:rPr>
          <w:rFonts w:ascii="Times New Roman" w:hAnsi="Times New Roman" w:cs="Times New Roman"/>
        </w:rPr>
        <w:t>.</w:t>
      </w:r>
    </w:p>
    <w:p w14:paraId="627DFE10" w14:textId="67DFD9D8"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The higher allocation of land in Gewane and Gelealo suggests that these districts are more engaged in commercial onion production. This could be attributed to better access to irrigation facilities, favorable agro-climatic conditions, or market access, which are critical for profitable onion farming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&lt;EndNote&gt;&lt;Cite&gt;&lt;Author&gt;Boru&lt;/Author&gt;&lt;Year&gt;2024&lt;/Year&gt;&lt;RecNum&gt;32&lt;/RecNum&gt;&lt;DisplayText&gt;(Boru, Birhan, &amp;amp; Beyene, 2024)&lt;/DisplayText&gt;&lt;record&gt;&lt;rec-number&gt;32&lt;/rec-number&gt;&lt;foreign-keys&gt;&lt;key app="EN" db-id="x2savr2skzpztmesfatpfzd7x5rp5ze0d2df" timestamp="1736932907"&gt;32&lt;/key&gt;&lt;/foreign-keys&gt;&lt;ref-type name="Journal Article"&gt;17&lt;/ref-type&gt;&lt;contributors&gt;&lt;authors&gt;&lt;author&gt;Boru, Getachew Wandifra&lt;/author&gt;&lt;author&gt;Birhan, Tigabie Setu&lt;/author&gt;&lt;author&gt;Beyene, Terhas Legese %J Heliyon&lt;/author&gt;&lt;/authors&gt;&lt;/contributors&gt;&lt;titles&gt;&lt;title&gt;Integrated effects of furrow irrigation systems and irrigation regimes on water productivity of onion (Allium cepa L.) crop in a semi-arid area&lt;/title&gt;&lt;/titles&gt;&lt;volume&gt;10&lt;/volume&gt;&lt;number&gt;21&lt;/number&gt;&lt;dates&gt;&lt;year&gt;2024&lt;/year&gt;&lt;/dates&gt;&lt;isbn&gt;2405-8440&lt;/isbn&gt;&lt;urls&gt;&lt;/urls&gt;&lt;electronic-resource-num&gt;https://doi.org/10.1016/j.heliyon.2024.e40098&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(Boru, Birhan, &amp; Beyene, 2024)</w:t>
      </w:r>
      <w:r w:rsidRPr="001A2FAD">
        <w:rPr>
          <w:rFonts w:ascii="Times New Roman" w:hAnsi="Times New Roman" w:cs="Times New Roman"/>
        </w:rPr>
        <w:fldChar w:fldCharType="end"/>
      </w:r>
      <w:r w:rsidRPr="001A2FAD">
        <w:rPr>
          <w:rFonts w:ascii="Times New Roman" w:hAnsi="Times New Roman" w:cs="Times New Roman"/>
        </w:rPr>
        <w:t>.</w:t>
      </w:r>
    </w:p>
    <w:p w14:paraId="1688A1AD" w14:textId="77777777" w:rsidR="00C5391D" w:rsidRPr="001A2FAD" w:rsidRDefault="00C5391D" w:rsidP="0030271E">
      <w:pPr>
        <w:pStyle w:val="Heading3"/>
        <w:numPr>
          <w:ilvl w:val="2"/>
          <w:numId w:val="1"/>
        </w:numPr>
        <w:jc w:val="both"/>
        <w:rPr>
          <w:rFonts w:cs="Times New Roman"/>
          <w:szCs w:val="24"/>
        </w:rPr>
      </w:pPr>
      <w:r w:rsidRPr="001A2FAD">
        <w:rPr>
          <w:rFonts w:cs="Times New Roman"/>
          <w:szCs w:val="24"/>
        </w:rPr>
        <w:t>Experience in Onion Bulb Production</w:t>
      </w:r>
    </w:p>
    <w:p w14:paraId="12AF38FA" w14:textId="6A84C7E3"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The respondents' farming experience ranged from less than 10 years to over 30 years, with no respondents reporting experience beyond 30 years. The majority of </w:t>
      </w:r>
      <w:r w:rsidR="0098404B" w:rsidRPr="001A2FAD">
        <w:rPr>
          <w:rFonts w:ascii="Times New Roman" w:hAnsi="Times New Roman" w:cs="Times New Roman"/>
        </w:rPr>
        <w:t>producers</w:t>
      </w:r>
      <w:r w:rsidRPr="001A2FAD">
        <w:rPr>
          <w:rFonts w:ascii="Times New Roman" w:hAnsi="Times New Roman" w:cs="Times New Roman"/>
        </w:rPr>
        <w:t xml:space="preserve"> (51.5%) had 10 to 20 years of experience, followed by 22% with less than 10 years and 16% with 20 to 30 years. Only 10.5% of respondents reported no prior experience in onion bulb farming. Haruka had the highest proportion of </w:t>
      </w:r>
      <w:r w:rsidR="0098404B" w:rsidRPr="001A2FAD">
        <w:rPr>
          <w:rFonts w:ascii="Times New Roman" w:hAnsi="Times New Roman" w:cs="Times New Roman"/>
        </w:rPr>
        <w:t>producers</w:t>
      </w:r>
      <w:r w:rsidRPr="001A2FAD">
        <w:rPr>
          <w:rFonts w:ascii="Times New Roman" w:hAnsi="Times New Roman" w:cs="Times New Roman"/>
        </w:rPr>
        <w:t xml:space="preserve"> with 10 to 20 years of experience (66%), while Gelealo had the highest proportion of respondents with no prior experience (14%).</w:t>
      </w:r>
    </w:p>
    <w:p w14:paraId="67297B1A" w14:textId="52311AB4"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Farming experience is directly linked to productivity and profitability in agriculture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&lt;EndNote&gt;&lt;Cite&gt;&lt;Author&gt;Bwala&lt;/Author&gt;&lt;Year&gt;2018&lt;/Year&gt;&lt;RecNum&gt;33&lt;/RecNum&gt;&lt;DisplayText&gt;(Bwala &amp;amp; John, 2018)&lt;/DisplayText&gt;&lt;record&gt;&lt;rec-number&gt;33&lt;/rec-number&gt;&lt;foreign-keys&gt;&lt;key app="EN" db-id="x2savr2skzpztmesfatpfzd7x5rp5ze0d2df" timestamp="1736933115"&gt;33&lt;/key&gt;&lt;/foreign-keys&gt;&lt;ref-type name="Journal Article"&gt;17&lt;/ref-type&gt;&lt;contributors&gt;&lt;authors&gt;&lt;author&gt;Bwala, Madu Ali&lt;/author&gt;&lt;author&gt;John, Aniobi U %J Journal of the Bangladesh Agricultural University&lt;/author&gt;&lt;/authors&gt;&lt;/contributors&gt;&lt;titles&gt;&lt;title&gt;Profitability analysis of paddy production: A case of agricultural zone 1, Niger State Nigeria&lt;/title&gt;&lt;/titles&gt;&lt;pages&gt;88-92&lt;/pages&gt;&lt;volume&gt;16&lt;/volume&gt;&lt;number&gt;1&lt;/number&gt;&lt;dates&gt;&lt;year&gt;2018&lt;/year&gt;&lt;/dates&gt;&lt;isbn&gt;2408-8684&lt;/isbn&gt;&lt;urls&gt;&lt;/urls&gt;&lt;electronic-resource-num&gt;https://doi.org/10.3329/jbau.v16i1.36486&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(Bwala &amp; John, 2018)</w:t>
      </w:r>
      <w:r w:rsidRPr="001A2FAD">
        <w:rPr>
          <w:rFonts w:ascii="Times New Roman" w:hAnsi="Times New Roman" w:cs="Times New Roman"/>
        </w:rPr>
        <w:fldChar w:fldCharType="end"/>
      </w:r>
      <w:r w:rsidRPr="001A2FAD">
        <w:rPr>
          <w:rFonts w:ascii="Times New Roman" w:hAnsi="Times New Roman" w:cs="Times New Roman"/>
        </w:rPr>
        <w:t xml:space="preserve">. A </w:t>
      </w:r>
      <w:r w:rsidR="0098404B" w:rsidRPr="001A2FAD">
        <w:rPr>
          <w:rFonts w:ascii="Times New Roman" w:hAnsi="Times New Roman" w:cs="Times New Roman"/>
        </w:rPr>
        <w:t>producer</w:t>
      </w:r>
      <w:r w:rsidRPr="001A2FAD">
        <w:rPr>
          <w:rFonts w:ascii="Times New Roman" w:hAnsi="Times New Roman" w:cs="Times New Roman"/>
        </w:rPr>
        <w:t xml:space="preserve"> with 10 to 20 years of experience is likely more skilled at implementing best practices, managing resources efficiently, and responding to production challenges. These advantages can contribute to higher yields and reduced production costs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&lt;EndNote&gt;&lt;Cite&gt;&lt;Author&gt;Fischer&lt;/Author&gt;&lt;Year&gt;2018&lt;/Year&gt;&lt;RecNum&gt;34&lt;/RecNum&gt;&lt;DisplayText&gt;(Fischer &amp;amp; Connor, 2018)&lt;/DisplayText&gt;&lt;record&gt;&lt;rec-number&gt;34&lt;/rec-number&gt;&lt;foreign-keys&gt;&lt;key app="EN" db-id="x2savr2skzpztmesfatpfzd7x5rp5ze0d2df" timestamp="1736933375"&gt;34&lt;/key&gt;&lt;/foreign-keys&gt;&lt;ref-type name="Journal Article"&gt;17&lt;/ref-type&gt;&lt;contributors&gt;&lt;authors&gt;&lt;author&gt;Fischer, RA&lt;/author&gt;&lt;author&gt;Connor, DJ %J Field Crops Research&lt;/author&gt;&lt;/authors&gt;&lt;/contributors&gt;&lt;titles&gt;&lt;title&gt;Issues for cropping and agricultural science in the next 20 years&lt;/title&gt;&lt;/titles&gt;&lt;pages&gt;121-142&lt;/pages&gt;&lt;volume&gt;222&lt;/volume&gt;&lt;dates&gt;&lt;year&gt;2018&lt;/year&gt;&lt;/dates&gt;&lt;isbn&gt;0378-4290&lt;/isbn&gt;&lt;urls&gt;&lt;/urls&gt;&lt;electronic-resource-num&gt;https://doi.org/10.1016/j.fcr.2018.03.008&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(Fischer &amp; Connor, 2018)</w:t>
      </w:r>
      <w:r w:rsidRPr="001A2FAD">
        <w:rPr>
          <w:rFonts w:ascii="Times New Roman" w:hAnsi="Times New Roman" w:cs="Times New Roman"/>
        </w:rPr>
        <w:fldChar w:fldCharType="end"/>
      </w:r>
      <w:r w:rsidRPr="001A2FAD">
        <w:rPr>
          <w:rFonts w:ascii="Times New Roman" w:hAnsi="Times New Roman" w:cs="Times New Roman"/>
        </w:rPr>
        <w:t>.</w:t>
      </w:r>
    </w:p>
    <w:p w14:paraId="3D647BB2" w14:textId="4C2EBF54"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The 10.5% of </w:t>
      </w:r>
      <w:r w:rsidR="0098404B" w:rsidRPr="001A2FAD">
        <w:rPr>
          <w:rFonts w:ascii="Times New Roman" w:hAnsi="Times New Roman" w:cs="Times New Roman"/>
        </w:rPr>
        <w:t>producers</w:t>
      </w:r>
      <w:r w:rsidRPr="001A2FAD">
        <w:rPr>
          <w:rFonts w:ascii="Times New Roman" w:hAnsi="Times New Roman" w:cs="Times New Roman"/>
        </w:rPr>
        <w:t xml:space="preserve"> with no prior experience may face challenges such as inadequate knowledge of irrigation management, pest control, and market access. This lack of experience could lead to lower yields and higher production risks, particularly in districts like Gelealo, where 14% of respondents reported no farming experience. Providing targeted extension services and </w:t>
      </w:r>
      <w:r w:rsidRPr="001A2FAD">
        <w:rPr>
          <w:rFonts w:ascii="Times New Roman" w:hAnsi="Times New Roman" w:cs="Times New Roman"/>
        </w:rPr>
        <w:lastRenderedPageBreak/>
        <w:t xml:space="preserve">training programs could help address these challenges and enhance productivity for less experienced </w:t>
      </w:r>
      <w:r w:rsidR="0098404B" w:rsidRPr="001A2FAD">
        <w:rPr>
          <w:rFonts w:ascii="Times New Roman" w:hAnsi="Times New Roman" w:cs="Times New Roman"/>
        </w:rPr>
        <w:t>producers</w:t>
      </w:r>
      <w:r w:rsidRPr="001A2FAD">
        <w:rPr>
          <w:rFonts w:ascii="Times New Roman" w:hAnsi="Times New Roman" w:cs="Times New Roman"/>
        </w:rPr>
        <w:t xml:space="preserve">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&lt;EndNote&gt;&lt;Cite&gt;&lt;Author&gt;Yeshiwas&lt;/Author&gt;&lt;Year&gt;2023&lt;/Year&gt;&lt;RecNum&gt;35&lt;/RecNum&gt;&lt;DisplayText&gt;(Yeshiwas, Alemayehu, &amp;amp; Adgo, 2023)&lt;/DisplayText&gt;&lt;record&gt;&lt;rec-number&gt;35&lt;/rec-number&gt;&lt;foreign-keys&gt;&lt;key app="EN" db-id="x2savr2skzpztmesfatpfzd7x5rp5ze0d2df" timestamp="1736933511"&gt;35&lt;/key&gt;&lt;/foreign-keys&gt;&lt;ref-type name="Journal Article"&gt;17&lt;/ref-type&gt;&lt;contributors&gt;&lt;authors&gt;&lt;author&gt;Yeshiwas, Yebirzaf&lt;/author&gt;&lt;author&gt;Alemayehu, Melkamu&lt;/author&gt;&lt;author&gt;Adgo, Enyew %J Heliyon&lt;/author&gt;&lt;/authors&gt;&lt;/contributors&gt;&lt;titles&gt;&lt;title&gt;The rise and fall of onion production; its multiple constraints on pre-harvest and post-harvest management issues along the supply chain in northwest Ethiopia&lt;/title&gt;&lt;/titles&gt;&lt;volume&gt;9&lt;/volume&gt;&lt;number&gt;5&lt;/number&gt;&lt;dates&gt;&lt;year&gt;2023&lt;/year&gt;&lt;/dates&gt;&lt;isbn&gt;2405-8440&lt;/isbn&gt;&lt;urls&gt;&lt;/urls&gt;&lt;electronic-resource-num&gt;https://doi.org/10.1016/j.heliyon.2023.e15905 &lt;/electronic-resource-num&gt;&lt;/record&gt;&lt;/Cite&gt;&lt;/EndNote&gt;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(Yeshiwas, Alemayehu, &amp; Adgo, 2023)</w:t>
      </w:r>
      <w:r w:rsidRPr="001A2FAD">
        <w:rPr>
          <w:rFonts w:ascii="Times New Roman" w:hAnsi="Times New Roman" w:cs="Times New Roman"/>
        </w:rPr>
        <w:fldChar w:fldCharType="end"/>
      </w:r>
      <w:r w:rsidRPr="001A2FAD">
        <w:rPr>
          <w:rFonts w:ascii="Times New Roman" w:hAnsi="Times New Roman" w:cs="Times New Roman"/>
        </w:rPr>
        <w:t>.</w:t>
      </w:r>
    </w:p>
    <w:p w14:paraId="52EA410B" w14:textId="77777777" w:rsidR="00C5391D" w:rsidRPr="001A2FAD" w:rsidRDefault="00C5391D" w:rsidP="001A2FAD">
      <w:pPr>
        <w:keepNext/>
        <w:spacing w:line="360" w:lineRule="auto"/>
        <w:jc w:val="both"/>
        <w:rPr>
          <w:rFonts w:ascii="Times New Roman" w:hAnsi="Times New Roman" w:cs="Times New Roman"/>
        </w:rPr>
      </w:pPr>
      <w:r w:rsidRPr="001A2FAD">
        <w:rPr>
          <w:rFonts w:ascii="Times New Roman" w:hAnsi="Times New Roman" w:cs="Times New Roman"/>
          <w:noProof/>
          <w:lang w:eastAsia="en-US"/>
        </w:rPr>
        <w:drawing>
          <wp:inline distT="0" distB="0" distL="0" distR="0" wp14:anchorId="03C34971" wp14:editId="75E51ADC">
            <wp:extent cx="5810250" cy="3848100"/>
            <wp:effectExtent l="0" t="0" r="0" b="0"/>
            <wp:docPr id="10339643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0250" cy="3848100"/>
                    </a:xfrm>
                    <a:prstGeom prst="rect">
                      <a:avLst/>
                    </a:prstGeom>
                    <a:noFill/>
                    <a:ln>
                      <a:noFill/>
                    </a:ln>
                  </pic:spPr>
                </pic:pic>
              </a:graphicData>
            </a:graphic>
          </wp:inline>
        </w:drawing>
      </w:r>
    </w:p>
    <w:p w14:paraId="7FCE139E" w14:textId="5BE47482" w:rsidR="00C5391D" w:rsidRPr="001A2FAD" w:rsidRDefault="00C5391D" w:rsidP="001A2FAD">
      <w:pPr>
        <w:spacing w:line="240" w:lineRule="auto"/>
        <w:jc w:val="both"/>
        <w:rPr>
          <w:rFonts w:ascii="Times New Roman" w:hAnsi="Times New Roman" w:cs="Times New Roman"/>
        </w:rPr>
      </w:pPr>
      <w:r w:rsidRPr="001A2FAD">
        <w:rPr>
          <w:rFonts w:ascii="Times New Roman" w:hAnsi="Times New Roman" w:cs="Times New Roman"/>
        </w:rPr>
        <w:t xml:space="preserve">Figure </w:t>
      </w:r>
      <w:r w:rsidRPr="001A2FAD">
        <w:rPr>
          <w:rFonts w:ascii="Times New Roman" w:hAnsi="Times New Roman" w:cs="Times New Roman"/>
        </w:rPr>
        <w:fldChar w:fldCharType="begin"/>
      </w:r>
      <w:r w:rsidRPr="001A2FAD">
        <w:rPr>
          <w:rFonts w:ascii="Times New Roman" w:hAnsi="Times New Roman" w:cs="Times New Roman"/>
        </w:rPr>
        <w:instrText xml:space="preserve"> SEQ Figure \* ARABIC </w:instrText>
      </w:r>
      <w:r w:rsidRPr="001A2FAD">
        <w:rPr>
          <w:rFonts w:ascii="Times New Roman" w:hAnsi="Times New Roman" w:cs="Times New Roman"/>
        </w:rPr>
        <w:fldChar w:fldCharType="separate"/>
      </w:r>
      <w:r w:rsidR="000B66C7" w:rsidRPr="001A2FAD">
        <w:rPr>
          <w:rFonts w:ascii="Times New Roman" w:hAnsi="Times New Roman" w:cs="Times New Roman"/>
          <w:noProof/>
        </w:rPr>
        <w:t>2</w:t>
      </w:r>
      <w:r w:rsidRPr="001A2FAD">
        <w:rPr>
          <w:rFonts w:ascii="Times New Roman" w:hAnsi="Times New Roman" w:cs="Times New Roman"/>
        </w:rPr>
        <w:fldChar w:fldCharType="end"/>
      </w:r>
      <w:r w:rsidRPr="001A2FAD">
        <w:rPr>
          <w:rFonts w:ascii="Times New Roman" w:hAnsi="Times New Roman" w:cs="Times New Roman"/>
        </w:rPr>
        <w:t>: Distribution of Land Allocation and Experience in Onion Bulb Production Across Districts (N=200) (Bar represents Frequency and Lines represent the Percentage)</w:t>
      </w:r>
    </w:p>
    <w:p w14:paraId="1FD37F53" w14:textId="77777777" w:rsidR="00C5391D" w:rsidRPr="001A2FAD" w:rsidRDefault="00C5391D" w:rsidP="0030271E">
      <w:pPr>
        <w:pStyle w:val="Heading2"/>
        <w:numPr>
          <w:ilvl w:val="1"/>
          <w:numId w:val="1"/>
        </w:numPr>
        <w:jc w:val="both"/>
        <w:rPr>
          <w:rFonts w:cs="Times New Roman"/>
          <w:szCs w:val="24"/>
        </w:rPr>
      </w:pPr>
      <w:bookmarkStart w:id="2" w:name="_Hlk185012021"/>
      <w:r w:rsidRPr="001A2FAD">
        <w:rPr>
          <w:rFonts w:cs="Times New Roman"/>
          <w:szCs w:val="24"/>
        </w:rPr>
        <w:t xml:space="preserve"> </w:t>
      </w:r>
      <w:bookmarkStart w:id="3" w:name="_Hlk232514514"/>
      <w:r w:rsidRPr="001A2FAD">
        <w:rPr>
          <w:rFonts w:cs="Times New Roman"/>
          <w:szCs w:val="24"/>
        </w:rPr>
        <w:t>Economic Analysis of Onion Production</w:t>
      </w:r>
    </w:p>
    <w:p w14:paraId="1E687C33" w14:textId="77777777" w:rsidR="00DC4851" w:rsidRPr="00DC4851" w:rsidRDefault="00DC4851" w:rsidP="00DC4851">
      <w:pPr>
        <w:spacing w:line="360" w:lineRule="auto"/>
        <w:jc w:val="both"/>
        <w:rPr>
          <w:rFonts w:ascii="Times New Roman" w:hAnsi="Times New Roman" w:cs="Times New Roman"/>
        </w:rPr>
      </w:pPr>
      <w:bookmarkStart w:id="4" w:name="_Hlk185012046"/>
      <w:bookmarkEnd w:id="2"/>
      <w:r w:rsidRPr="00DC4851">
        <w:rPr>
          <w:rFonts w:ascii="Times New Roman" w:hAnsi="Times New Roman" w:cs="Times New Roman"/>
        </w:rPr>
        <w:t>The economic analysis of onion production under irrigated conditions revealed a total production and marketing cost of 646,880 ETB ha⁻¹ (Table 1). The distribution of costs among production and marketing activities showed substantial variation, indicating that profitability is strongly influenced by a few major cost components. Marketing expenses constituted the largest share of total costs, followed by chemical management, labor, fertilizer, land inputs, post-harvest handling, seed, and irrigation costs (Figure 3). Understanding the relative contribution of these components is essential for identifying opportunities to improve production efficiency and profitability.</w:t>
      </w:r>
    </w:p>
    <w:p w14:paraId="39F2E2EA" w14:textId="35D3EE44" w:rsidR="00C5391D" w:rsidRPr="001A2FAD" w:rsidRDefault="00C5391D" w:rsidP="0030271E">
      <w:pPr>
        <w:pStyle w:val="Heading3"/>
        <w:numPr>
          <w:ilvl w:val="2"/>
          <w:numId w:val="1"/>
        </w:numPr>
        <w:jc w:val="both"/>
        <w:rPr>
          <w:rFonts w:cs="Times New Roman"/>
          <w:szCs w:val="24"/>
        </w:rPr>
      </w:pPr>
      <w:r w:rsidRPr="001A2FAD">
        <w:rPr>
          <w:rFonts w:cs="Times New Roman"/>
          <w:szCs w:val="24"/>
        </w:rPr>
        <w:t>Marketing Costs</w:t>
      </w:r>
    </w:p>
    <w:p w14:paraId="599CC253" w14:textId="6F8E9A4F" w:rsidR="00C5391D" w:rsidRPr="001A2FAD" w:rsidRDefault="009E60AE" w:rsidP="001A2FAD">
      <w:pPr>
        <w:spacing w:line="360" w:lineRule="auto"/>
        <w:jc w:val="both"/>
        <w:rPr>
          <w:rFonts w:ascii="Times New Roman" w:hAnsi="Times New Roman" w:cs="Times New Roman"/>
        </w:rPr>
      </w:pPr>
      <w:bookmarkStart w:id="5" w:name="_Hlk185012075"/>
      <w:bookmarkEnd w:id="4"/>
      <w:r w:rsidRPr="009E60AE">
        <w:rPr>
          <w:rFonts w:ascii="Times New Roman" w:hAnsi="Times New Roman" w:cs="Times New Roman"/>
        </w:rPr>
        <w:t xml:space="preserve">Marketing costs represented the largest expenditure category, accounting for </w:t>
      </w:r>
      <w:r w:rsidRPr="009E60AE">
        <w:rPr>
          <w:rFonts w:ascii="Times New Roman" w:hAnsi="Times New Roman" w:cs="Times New Roman"/>
          <w:bCs/>
        </w:rPr>
        <w:t>250,000 ETB ha⁻¹ (38.64%)</w:t>
      </w:r>
      <w:r w:rsidRPr="009E60AE">
        <w:rPr>
          <w:rFonts w:ascii="Times New Roman" w:hAnsi="Times New Roman" w:cs="Times New Roman"/>
        </w:rPr>
        <w:t xml:space="preserve"> of the total production cost. These expenses include broker commissions, transportation, </w:t>
      </w:r>
      <w:r w:rsidRPr="009E60AE">
        <w:rPr>
          <w:rFonts w:ascii="Times New Roman" w:hAnsi="Times New Roman" w:cs="Times New Roman"/>
        </w:rPr>
        <w:lastRenderedPageBreak/>
        <w:t xml:space="preserve">loading and unloading, packaging, and other transaction-related charges incurred during the marketing process. The predominance of marketing costs indicates that a substantial portion of the value generated from onion production is absorbed after harvest rather than during cultivation. Such high marketing expenses reduce producers’ profit margins and limit the economic benefits derived from production. The result suggests inefficiencies in the marketing system, including dependence on intermediaries, inadequate market infrastructure, and limited direct access to consumers. </w:t>
      </w:r>
      <w:r w:rsidRPr="001A2FAD">
        <w:rPr>
          <w:rFonts w:ascii="Times New Roman" w:hAnsi="Times New Roman" w:cs="Times New Roman"/>
        </w:rPr>
        <w:t xml:space="preserve">The disproportionate share of marketing costs highlights systemic challenges within the agricultural value chain, which can erode profitability despite favorable yields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&lt;EndNote&gt;&lt;Cite&gt;&lt;Author&gt;German&lt;/Author&gt;&lt;Year&gt;2020&lt;/Year&gt;&lt;RecNum&gt;37&lt;/RecNum&gt;&lt;DisplayText&gt;(German, Bonanno, Foster, &amp;amp; Cotula, 2020)&lt;/DisplayText&gt;&lt;record&gt;&lt;rec-number&gt;37&lt;/rec-number&gt;&lt;foreign-keys&gt;&lt;key app="EN" db-id="x2savr2skzpztmesfatpfzd7x5rp5ze0d2df" timestamp="1736934006"&gt;37&lt;/key&gt;&lt;/foreign-keys&gt;&lt;ref-type name="Journal Article"&gt;17&lt;/ref-type&gt;&lt;contributors&gt;&lt;authors&gt;&lt;author&gt;German, Laura A&lt;/author&gt;&lt;author&gt;Bonanno, Anya M&lt;/author&gt;&lt;author&gt;Foster, Laura Catherine&lt;/author&gt;&lt;author&gt;Cotula, Lorenzo %J World Development&lt;/author&gt;&lt;/authors&gt;&lt;/contributors&gt;&lt;titles&gt;&lt;title&gt;“Inclusive business” in agriculture: Evidence from the evolution of agricultural value chains&lt;/title&gt;&lt;/titles&gt;&lt;pages&gt;105018&lt;/pages&gt;&lt;volume&gt;134&lt;/volume&gt;&lt;dates&gt;&lt;year&gt;2020&lt;/year&gt;&lt;/dates&gt;&lt;isbn&gt;0305-750X&lt;/isbn&gt;&lt;urls&gt;&lt;/urls&gt;&lt;electronic-resource-num&gt;https://doi.org/10.1016/j.worlddev.2020.105018&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(German, Bonanno, Foster, &amp; Cotula, 2020)</w:t>
      </w:r>
      <w:r w:rsidRPr="001A2FAD">
        <w:rPr>
          <w:rFonts w:ascii="Times New Roman" w:hAnsi="Times New Roman" w:cs="Times New Roman"/>
        </w:rPr>
        <w:fldChar w:fldCharType="end"/>
      </w:r>
      <w:r w:rsidRPr="001A2FAD">
        <w:rPr>
          <w:rFonts w:ascii="Times New Roman" w:hAnsi="Times New Roman" w:cs="Times New Roman"/>
        </w:rPr>
        <w:t>.</w:t>
      </w:r>
      <w:r>
        <w:rPr>
          <w:rFonts w:ascii="Times New Roman" w:hAnsi="Times New Roman" w:cs="Times New Roman"/>
        </w:rPr>
        <w:t xml:space="preserve"> </w:t>
      </w:r>
      <w:r w:rsidR="00C5391D" w:rsidRPr="001A2FAD">
        <w:rPr>
          <w:rFonts w:ascii="Times New Roman" w:hAnsi="Times New Roman" w:cs="Times New Roman"/>
        </w:rPr>
        <w:t xml:space="preserve">The dependency on brokers significantly diminishes </w:t>
      </w:r>
      <w:r w:rsidR="004B5E6E" w:rsidRPr="001A2FAD">
        <w:rPr>
          <w:rFonts w:ascii="Times New Roman" w:hAnsi="Times New Roman" w:cs="Times New Roman"/>
        </w:rPr>
        <w:t>producers’</w:t>
      </w:r>
      <w:r w:rsidR="00C5391D" w:rsidRPr="001A2FAD">
        <w:rPr>
          <w:rFonts w:ascii="Times New Roman" w:hAnsi="Times New Roman" w:cs="Times New Roman"/>
        </w:rPr>
        <w:t xml:space="preserve"> profit margins, as </w:t>
      </w:r>
      <w:r w:rsidR="00276C1B" w:rsidRPr="001A2FAD">
        <w:rPr>
          <w:rFonts w:ascii="Times New Roman" w:hAnsi="Times New Roman" w:cs="Times New Roman"/>
        </w:rPr>
        <w:t>producers</w:t>
      </w:r>
      <w:r w:rsidR="00C5391D" w:rsidRPr="001A2FAD">
        <w:rPr>
          <w:rFonts w:ascii="Times New Roman" w:hAnsi="Times New Roman" w:cs="Times New Roman"/>
        </w:rPr>
        <w:t xml:space="preserve"> often lack adequate bargaining power to negotiate favorable prices </w:t>
      </w:r>
      <w:r w:rsidR="00C5391D"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&lt;EndNote&gt;&lt;Cite&gt;&lt;Author&gt;Ryall&lt;/Author&gt;&lt;Year&gt;2007&lt;/Year&gt;&lt;RecNum&gt;39&lt;/RecNum&gt;&lt;DisplayText&gt;(Ryall &amp;amp; Sorenson, 2007)&lt;/DisplayText&gt;&lt;record&gt;&lt;rec-number&gt;39&lt;/rec-number&gt;&lt;foreign-keys&gt;&lt;key app="EN" db-id="x2savr2skzpztmesfatpfzd7x5rp5ze0d2df" timestamp="1739370523"&gt;39&lt;/key&gt;&lt;/foreign-keys&gt;&lt;ref-type name="Journal Article"&gt;17&lt;/ref-type&gt;&lt;contributors&gt;&lt;authors&gt;&lt;author&gt;Ryall, Michael D&lt;/author&gt;&lt;author&gt;Sorenson, Olav %J Management Science&lt;/author&gt;&lt;/authors&gt;&lt;/contributors&gt;&lt;titles&gt;&lt;title&gt;Brokers and competitive advantage&lt;/title&gt;&lt;/titles&gt;&lt;pages&gt;566-583&lt;/pages&gt;&lt;volume&gt;53&lt;/volume&gt;&lt;number&gt;4&lt;/number&gt;&lt;dates&gt;&lt;year&gt;2007&lt;/year&gt;&lt;/dates&gt;&lt;isbn&gt;0025-1909&lt;/isbn&gt;&lt;urls&gt;&lt;/urls&gt;&lt;electronic-resource-num&gt;https://doi.org/10.1287/mnsc.1060.0675&lt;/electronic-resource-num&gt;&lt;/record&gt;&lt;/Cite&gt;&lt;/EndNote&gt;</w:instrText>
      </w:r>
      <w:r w:rsidR="00C5391D" w:rsidRPr="001A2FAD">
        <w:rPr>
          <w:rFonts w:ascii="Times New Roman" w:hAnsi="Times New Roman" w:cs="Times New Roman"/>
        </w:rPr>
        <w:fldChar w:fldCharType="separate"/>
      </w:r>
      <w:r w:rsidR="00064C6E">
        <w:rPr>
          <w:rFonts w:ascii="Times New Roman" w:hAnsi="Times New Roman" w:cs="Times New Roman"/>
          <w:noProof/>
        </w:rPr>
        <w:t>(Ryall &amp; Sorenson, 2007)</w:t>
      </w:r>
      <w:r w:rsidR="00C5391D" w:rsidRPr="001A2FAD">
        <w:rPr>
          <w:rFonts w:ascii="Times New Roman" w:hAnsi="Times New Roman" w:cs="Times New Roman"/>
        </w:rPr>
        <w:fldChar w:fldCharType="end"/>
      </w:r>
      <w:r w:rsidR="00C5391D" w:rsidRPr="001A2FAD">
        <w:rPr>
          <w:rFonts w:ascii="Times New Roman" w:hAnsi="Times New Roman" w:cs="Times New Roman"/>
        </w:rPr>
        <w:t xml:space="preserve">. Furthermore, high transportation costs remain a critical issue, often stemming from inadequate infrastructure in rural areas </w:t>
      </w:r>
      <w:r w:rsidR="00C5391D"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&lt;EndNote&gt;&lt;Cite&gt;&lt;Author&gt;Booth&lt;/Author&gt;&lt;Year&gt;2000&lt;/Year&gt;&lt;RecNum&gt;40&lt;/RecNum&gt;&lt;DisplayText&gt;(Booth, Hanmer, &amp;amp; Lovell, 2000)&lt;/DisplayText&gt;&lt;record&gt;&lt;rec-number&gt;40&lt;/rec-number&gt;&lt;foreign-keys&gt;&lt;key app="EN" db-id="x2savr2skzpztmesfatpfzd7x5rp5ze0d2df" timestamp="1739370772"&gt;40&lt;/key&gt;&lt;/foreign-keys&gt;&lt;ref-type name="Journal Article"&gt;17&lt;/ref-type&gt;&lt;contributors&gt;&lt;authors&gt;&lt;author&gt;Booth, David&lt;/author&gt;&lt;author&gt;Hanmer, Lucia&lt;/author&gt;&lt;author&gt;Lovell, Elizabeth %J Report for the World Bank, Overseas Development Institute&lt;/author&gt;&lt;/authors&gt;&lt;/contributors&gt;&lt;titles&gt;&lt;title&gt;Poverty and transport&lt;/title&gt;&lt;/titles&gt;&lt;dates&gt;&lt;year&gt;2000&lt;/year&gt;&lt;/dates&gt;&lt;urls&gt;&lt;/urls&gt;&lt;/record&gt;&lt;/Cite&gt;&lt;/EndNote&gt;</w:instrText>
      </w:r>
      <w:r w:rsidR="00C5391D" w:rsidRPr="001A2FAD">
        <w:rPr>
          <w:rFonts w:ascii="Times New Roman" w:hAnsi="Times New Roman" w:cs="Times New Roman"/>
        </w:rPr>
        <w:fldChar w:fldCharType="separate"/>
      </w:r>
      <w:r w:rsidR="00064C6E">
        <w:rPr>
          <w:rFonts w:ascii="Times New Roman" w:hAnsi="Times New Roman" w:cs="Times New Roman"/>
          <w:noProof/>
        </w:rPr>
        <w:t>(Booth, Hanmer, &amp; Lovell, 2000)</w:t>
      </w:r>
      <w:r w:rsidR="00C5391D" w:rsidRPr="001A2FAD">
        <w:rPr>
          <w:rFonts w:ascii="Times New Roman" w:hAnsi="Times New Roman" w:cs="Times New Roman"/>
        </w:rPr>
        <w:fldChar w:fldCharType="end"/>
      </w:r>
      <w:r w:rsidR="00C5391D" w:rsidRPr="001A2FAD">
        <w:rPr>
          <w:rFonts w:ascii="Times New Roman" w:hAnsi="Times New Roman" w:cs="Times New Roman"/>
        </w:rPr>
        <w:t xml:space="preserve">. </w:t>
      </w:r>
      <w:r w:rsidR="00A61ADD" w:rsidRPr="009E60AE">
        <w:rPr>
          <w:rFonts w:ascii="Times New Roman" w:hAnsi="Times New Roman" w:cs="Times New Roman"/>
        </w:rPr>
        <w:t>Improving producer cooperatives, strengthening market linkages, and enhancing transportation infrastructure could substantially reduce marketing costs and increase farm profitability.</w:t>
      </w:r>
      <w:r w:rsidR="0091665A">
        <w:rPr>
          <w:rFonts w:ascii="Times New Roman" w:hAnsi="Times New Roman" w:cs="Times New Roman"/>
        </w:rPr>
        <w:t xml:space="preserve"> </w:t>
      </w:r>
      <w:r w:rsidR="00C5391D" w:rsidRPr="001A2FAD">
        <w:rPr>
          <w:rFonts w:ascii="Times New Roman" w:hAnsi="Times New Roman" w:cs="Times New Roman"/>
        </w:rPr>
        <w:t xml:space="preserve">Studies indicate that cooperative structures enable </w:t>
      </w:r>
      <w:r w:rsidR="0098404B" w:rsidRPr="001A2FAD">
        <w:rPr>
          <w:rFonts w:ascii="Times New Roman" w:hAnsi="Times New Roman" w:cs="Times New Roman"/>
        </w:rPr>
        <w:t>producers</w:t>
      </w:r>
      <w:r w:rsidR="00C5391D" w:rsidRPr="001A2FAD">
        <w:rPr>
          <w:rFonts w:ascii="Times New Roman" w:hAnsi="Times New Roman" w:cs="Times New Roman"/>
        </w:rPr>
        <w:t xml:space="preserve"> to pool resources, negotiate better prices, and enhance their share of the final consumer price </w:t>
      </w:r>
      <w:r w:rsidR="00C5391D"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&lt;EndNote&gt;&lt;Cite&gt;&lt;Author&gt;Sykuta&lt;/Author&gt;&lt;Year&gt;2001&lt;/Year&gt;&lt;RecNum&gt;42&lt;/RecNum&gt;&lt;DisplayText&gt;(Sykuta &amp;amp; Cook, 2001)&lt;/DisplayText&gt;&lt;record&gt;&lt;rec-number&gt;42&lt;/rec-number&gt;&lt;foreign-keys&gt;&lt;key app="EN" db-id="x2savr2skzpztmesfatpfzd7x5rp5ze0d2df" timestamp="1739370982"&gt;42&lt;/key&gt;&lt;/foreign-keys&gt;&lt;ref-type name="Journal Article"&gt;17&lt;/ref-type&gt;&lt;contributors&gt;&lt;authors&gt;&lt;author&gt;Sykuta, Michael E&lt;/author&gt;&lt;author&gt;Cook, Michael L %J American journal of agricultural economics&lt;/author&gt;&lt;/authors&gt;&lt;/contributors&gt;&lt;titles&gt;&lt;title&gt;A new institutional economics approach to contracts and cooperatives&lt;/title&gt;&lt;/titles&gt;&lt;pages&gt;1273-1279&lt;/pages&gt;&lt;volume&gt;83&lt;/volume&gt;&lt;number&gt;5&lt;/number&gt;&lt;dates&gt;&lt;year&gt;2001&lt;/year&gt;&lt;/dates&gt;&lt;isbn&gt;0002-9092&lt;/isbn&gt;&lt;urls&gt;&lt;/urls&gt;&lt;/record&gt;&lt;/Cite&gt;&lt;/EndNote&gt;</w:instrText>
      </w:r>
      <w:r w:rsidR="00C5391D" w:rsidRPr="001A2FAD">
        <w:rPr>
          <w:rFonts w:ascii="Times New Roman" w:hAnsi="Times New Roman" w:cs="Times New Roman"/>
        </w:rPr>
        <w:fldChar w:fldCharType="separate"/>
      </w:r>
      <w:r w:rsidR="00064C6E">
        <w:rPr>
          <w:rFonts w:ascii="Times New Roman" w:hAnsi="Times New Roman" w:cs="Times New Roman"/>
          <w:noProof/>
        </w:rPr>
        <w:t>(Sykuta &amp; Cook, 2001)</w:t>
      </w:r>
      <w:r w:rsidR="00C5391D" w:rsidRPr="001A2FAD">
        <w:rPr>
          <w:rFonts w:ascii="Times New Roman" w:hAnsi="Times New Roman" w:cs="Times New Roman"/>
        </w:rPr>
        <w:fldChar w:fldCharType="end"/>
      </w:r>
      <w:r w:rsidR="00C5391D" w:rsidRPr="001A2FAD">
        <w:rPr>
          <w:rFonts w:ascii="Times New Roman" w:hAnsi="Times New Roman" w:cs="Times New Roman"/>
        </w:rPr>
        <w:t xml:space="preserve">. </w:t>
      </w:r>
    </w:p>
    <w:p w14:paraId="6DD7CE07" w14:textId="6CD97301" w:rsidR="00C5391D" w:rsidRPr="001A2FAD" w:rsidRDefault="00C5391D" w:rsidP="0030271E">
      <w:pPr>
        <w:pStyle w:val="Heading3"/>
        <w:numPr>
          <w:ilvl w:val="2"/>
          <w:numId w:val="1"/>
        </w:numPr>
        <w:jc w:val="both"/>
        <w:rPr>
          <w:rFonts w:cs="Times New Roman"/>
          <w:szCs w:val="24"/>
        </w:rPr>
      </w:pPr>
      <w:r w:rsidRPr="001A2FAD">
        <w:rPr>
          <w:rFonts w:cs="Times New Roman"/>
          <w:szCs w:val="24"/>
        </w:rPr>
        <w:t>Chemical Costs</w:t>
      </w:r>
      <w:bookmarkEnd w:id="5"/>
    </w:p>
    <w:p w14:paraId="64DC87DC" w14:textId="630E48C6" w:rsidR="004F26F9" w:rsidRDefault="004F26F9" w:rsidP="001A2FAD">
      <w:pPr>
        <w:spacing w:line="360" w:lineRule="auto"/>
        <w:jc w:val="both"/>
        <w:rPr>
          <w:rFonts w:ascii="Times New Roman" w:hAnsi="Times New Roman" w:cs="Times New Roman"/>
        </w:rPr>
      </w:pPr>
      <w:bookmarkStart w:id="6" w:name="_Hlk185012117"/>
      <w:r w:rsidRPr="004F26F9">
        <w:rPr>
          <w:rFonts w:ascii="Times New Roman" w:hAnsi="Times New Roman" w:cs="Times New Roman"/>
        </w:rPr>
        <w:t xml:space="preserve">Chemical management constituted the second-largest cost component, amounting to 90,000 ETB ha⁻¹ (13.92%). These expenses primarily involve the purchase and application of pesticides, fungicides, and other crop protection chemicals used to manage pests and diseases. The relatively high share of chemical costs reflects the importance of maintaining crop health under irrigated production systems, where favorable growing conditions may also encourage pest and disease development. While chemical inputs contribute significantly to yield protection and productivity, excessive reliance on them can increase production costs and create environmental concerns. </w:t>
      </w:r>
      <w:r w:rsidRPr="001A2FAD">
        <w:rPr>
          <w:rFonts w:ascii="Times New Roman" w:hAnsi="Times New Roman" w:cs="Times New Roman"/>
        </w:rPr>
        <w:t xml:space="preserve">Overuse or improper application of pesticides and fertilizers can lead to significant environmental risks, such as soil degradation, water contamination, and reduced biodiversity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&lt;EndNote&gt;&lt;Cite&gt;&lt;Author&gt;Hossain&lt;/Author&gt;&lt;Year&gt;2022&lt;/Year&gt;&lt;RecNum&gt;45&lt;/RecNum&gt;&lt;DisplayText&gt;(Hossain, Shahrukh, &amp;amp; Hossain, 2022)&lt;/DisplayText&gt;&lt;record&gt;&lt;rec-number&gt;45&lt;/rec-number&gt;&lt;foreign-keys&gt;&lt;key app="EN" db-id="x2savr2skzpztmesfatpfzd7x5rp5ze0d2df" timestamp="1739371324"&gt;45&lt;/key&gt;&lt;/foreign-keys&gt;&lt;ref-type name="Book Section"&gt;5&lt;/ref-type&gt;&lt;contributors&gt;&lt;authors&gt;&lt;author&gt;Hossain, Mohammad Enayet&lt;/author&gt;&lt;author&gt;Shahrukh, Saif&lt;/author&gt;&lt;author&gt;Hossain, Shahid Akhtar&lt;/author&gt;&lt;/authors&gt;&lt;/contributors&gt;&lt;titles&gt;&lt;title&gt;Chemical fertilizers and pesticides: impacts on soil degradation, groundwater, and human health in Bangladesh&lt;/title&gt;&lt;secondary-title&gt;Environmental degradation: challenges and strategies for mitigation&lt;/secondary-title&gt;&lt;/titles&gt;&lt;pages&gt;63-92&lt;/pages&gt;&lt;dates&gt;&lt;year&gt;2022&lt;/year&gt;&lt;/dates&gt;&lt;publisher&gt;Springer&lt;/publisher&gt;&lt;urls&gt;&lt;/urls&gt;&lt;electronic-resource-num&gt;https://doi.org/10.1007/978-3-030-95542-7_4&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(Hossain, Shahrukh, &amp; Hossain, 2022)</w:t>
      </w:r>
      <w:r w:rsidRPr="001A2FAD">
        <w:rPr>
          <w:rFonts w:ascii="Times New Roman" w:hAnsi="Times New Roman" w:cs="Times New Roman"/>
        </w:rPr>
        <w:fldChar w:fldCharType="end"/>
      </w:r>
      <w:r w:rsidRPr="001A2FAD">
        <w:rPr>
          <w:rFonts w:ascii="Times New Roman" w:hAnsi="Times New Roman" w:cs="Times New Roman"/>
        </w:rPr>
        <w:t>.</w:t>
      </w:r>
      <w:r>
        <w:rPr>
          <w:rFonts w:ascii="Times New Roman" w:hAnsi="Times New Roman" w:cs="Times New Roman"/>
        </w:rPr>
        <w:t xml:space="preserve"> </w:t>
      </w:r>
      <w:r w:rsidRPr="004F26F9">
        <w:rPr>
          <w:rFonts w:ascii="Times New Roman" w:hAnsi="Times New Roman" w:cs="Times New Roman"/>
        </w:rPr>
        <w:t>Adoption of integrated pest management (IPM) practices could reduce input costs while maintaining effective pest control and environmental sustainability.</w:t>
      </w:r>
      <w:r>
        <w:rPr>
          <w:rFonts w:ascii="Times New Roman" w:hAnsi="Times New Roman" w:cs="Times New Roman"/>
        </w:rPr>
        <w:t xml:space="preserve"> </w:t>
      </w:r>
      <w:r w:rsidRPr="001A2FAD">
        <w:rPr>
          <w:rFonts w:ascii="Times New Roman" w:hAnsi="Times New Roman" w:cs="Times New Roman"/>
        </w:rPr>
        <w:t xml:space="preserve">Evidence suggests that IPM can enhance long-term productivity while minimizing negative externalities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&lt;EndNote&gt;&lt;Cite&gt;&lt;Author&gt;Becker&lt;/Author&gt;&lt;Year&gt;2017&lt;/Year&gt;&lt;RecNum&gt;47&lt;/RecNum&gt;&lt;DisplayText&gt;(Becker &amp;amp; policymakers, 2017)&lt;/DisplayText&gt;&lt;record&gt;&lt;rec-number&gt;47&lt;/rec-number&gt;&lt;foreign-keys&gt;&lt;key app="EN" db-id="x2savr2skzpztmesfatpfzd7x5rp5ze0d2df" timestamp="1739371512"&gt;47&lt;/key&gt;&lt;/foreign-keys&gt;&lt;ref-type name="Journal Article"&gt;17&lt;/ref-type&gt;&lt;contributors&gt;&lt;authors&gt;&lt;author&gt;Becker, Nir %J Environmental pest management: challenges for agronomists, ecologists, economists&lt;/author&gt;&lt;author&gt;policymakers&lt;/author&gt;&lt;/authors&gt;&lt;/contributors&gt;&lt;titles&gt;&lt;title&gt;External costs of food production: environmental and human health costs of pest management&lt;/title&gt;&lt;/titles&gt;&lt;pages&gt;369-384&lt;/pages&gt;&lt;dates&gt;&lt;year&gt;2017&lt;/year&gt;&lt;/dates&gt;&lt;urls&gt;&lt;/urls&gt;&lt;electronic-resource-num&gt; https://doi.org/10.1002/9781119255574.ch16&lt;/electronic-resource-num&gt;&lt;/record&gt;&lt;/Cite&gt;&lt;/EndNote&gt;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(Becker &amp; policymakers, 2017)</w:t>
      </w:r>
      <w:r w:rsidRPr="001A2FAD">
        <w:rPr>
          <w:rFonts w:ascii="Times New Roman" w:hAnsi="Times New Roman" w:cs="Times New Roman"/>
        </w:rPr>
        <w:fldChar w:fldCharType="end"/>
      </w:r>
      <w:r w:rsidRPr="001A2FAD">
        <w:rPr>
          <w:rFonts w:ascii="Times New Roman" w:hAnsi="Times New Roman" w:cs="Times New Roman"/>
        </w:rPr>
        <w:t xml:space="preserve">. </w:t>
      </w:r>
    </w:p>
    <w:p w14:paraId="38CE7ABC" w14:textId="504EFF7B" w:rsidR="00C5391D" w:rsidRPr="001A2FAD" w:rsidRDefault="00C5391D" w:rsidP="0030271E">
      <w:pPr>
        <w:pStyle w:val="Heading3"/>
        <w:numPr>
          <w:ilvl w:val="2"/>
          <w:numId w:val="1"/>
        </w:numPr>
        <w:jc w:val="both"/>
        <w:rPr>
          <w:rFonts w:cs="Times New Roman"/>
          <w:szCs w:val="24"/>
        </w:rPr>
      </w:pPr>
      <w:r w:rsidRPr="001A2FAD">
        <w:rPr>
          <w:rFonts w:cs="Times New Roman"/>
          <w:szCs w:val="24"/>
        </w:rPr>
        <w:lastRenderedPageBreak/>
        <w:t>Labor Costs</w:t>
      </w:r>
    </w:p>
    <w:p w14:paraId="1C35F49E" w14:textId="20112E91" w:rsidR="00C5391D" w:rsidRDefault="000A2885" w:rsidP="001A2FAD">
      <w:pPr>
        <w:spacing w:line="360" w:lineRule="auto"/>
        <w:jc w:val="both"/>
        <w:rPr>
          <w:rFonts w:ascii="Times New Roman" w:hAnsi="Times New Roman" w:cs="Times New Roman"/>
        </w:rPr>
      </w:pPr>
      <w:bookmarkStart w:id="7" w:name="_Hlk185012151"/>
      <w:bookmarkEnd w:id="6"/>
      <w:r w:rsidRPr="000A2885">
        <w:rPr>
          <w:rFonts w:ascii="Times New Roman" w:hAnsi="Times New Roman" w:cs="Times New Roman"/>
        </w:rPr>
        <w:t xml:space="preserve">Labor costs accounted for </w:t>
      </w:r>
      <w:r w:rsidRPr="000A2885">
        <w:rPr>
          <w:rFonts w:ascii="Times New Roman" w:hAnsi="Times New Roman" w:cs="Times New Roman"/>
          <w:bCs/>
        </w:rPr>
        <w:t>76,000 ETB ha⁻¹ (11.75%)</w:t>
      </w:r>
      <w:r w:rsidRPr="000A2885">
        <w:rPr>
          <w:rFonts w:ascii="Times New Roman" w:hAnsi="Times New Roman" w:cs="Times New Roman"/>
        </w:rPr>
        <w:t xml:space="preserve"> of the total production cost, making labor the third-largest expenditure category. Onion production requires considerable manual labor for activities such as nursery management, transplanting, weeding, irrigation management, harvesting, and post-harvest handling. The substantial labor requirement reflects the labor-intensive nature of onion cultivation under smallholder production systems. Rising wage rates and seasonal labor shortages may further increase production expenses and reduce profitability. </w:t>
      </w:r>
      <w:r w:rsidRPr="001A2FAD">
        <w:rPr>
          <w:rFonts w:ascii="Times New Roman" w:hAnsi="Times New Roman" w:cs="Times New Roman"/>
        </w:rPr>
        <w:t xml:space="preserve">Rising rural wage rates and seasonal labor shortages further constrain profitability, especially during peak farming periods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&lt;EndNote&gt;&lt;Cite&gt;&lt;Author&gt;Fink&lt;/Author&gt;&lt;Year&gt;2020&lt;/Year&gt;&lt;RecNum&gt;49&lt;/RecNum&gt;&lt;DisplayText&gt;(Fink, Jack, &amp;amp; Masiye, 2020)&lt;/DisplayText&gt;&lt;record&gt;&lt;rec-number&gt;49&lt;/rec-number&gt;&lt;foreign-keys&gt;&lt;key app="EN" db-id="x2savr2skzpztmesfatpfzd7x5rp5ze0d2df" timestamp="1739448302"&gt;49&lt;/key&gt;&lt;/foreign-keys&gt;&lt;ref-type name="Journal Article"&gt;17&lt;/ref-type&gt;&lt;contributors&gt;&lt;authors&gt;&lt;author&gt;Fink, Günther&lt;/author&gt;&lt;author&gt;Jack, B Kelsey&lt;/author&gt;&lt;author&gt;Masiye, Felix %J American Economic Review&lt;/author&gt;&lt;/authors&gt;&lt;/contributors&gt;&lt;titles&gt;&lt;title&gt;Seasonal liquidity, rural labor markets, and agricultural production&lt;/title&gt;&lt;/titles&gt;&lt;pages&gt;3351-3392&lt;/pages&gt;&lt;volume&gt;110&lt;/volume&gt;&lt;number&gt;11&lt;/number&gt;&lt;dates&gt;&lt;year&gt;2020&lt;/year&gt;&lt;/dates&gt;&lt;isbn&gt;0002-8282&lt;/isbn&gt;&lt;urls&gt;&lt;/urls&gt;&lt;electronic-resource-num&gt;DOI: 10.1257/aer.20180607&lt;/electronic-resource-num&gt;&lt;/record&gt;&lt;/Cite&gt;&lt;/EndNote&gt;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(Fink, Jack, &amp; Masiye, 2020)</w:t>
      </w:r>
      <w:r w:rsidRPr="001A2FAD">
        <w:rPr>
          <w:rFonts w:ascii="Times New Roman" w:hAnsi="Times New Roman" w:cs="Times New Roman"/>
        </w:rPr>
        <w:fldChar w:fldCharType="end"/>
      </w:r>
      <w:r w:rsidRPr="001A2FAD">
        <w:rPr>
          <w:rFonts w:ascii="Times New Roman" w:hAnsi="Times New Roman" w:cs="Times New Roman"/>
        </w:rPr>
        <w:t xml:space="preserve">. </w:t>
      </w:r>
      <w:r w:rsidRPr="000A2885">
        <w:rPr>
          <w:rFonts w:ascii="Times New Roman" w:hAnsi="Times New Roman" w:cs="Times New Roman"/>
        </w:rPr>
        <w:t>Mechanization of selected operations, particularly planting and weeding, could improve labor efficiency and reduce production costs.</w:t>
      </w:r>
      <w:r>
        <w:rPr>
          <w:rFonts w:ascii="Times New Roman" w:hAnsi="Times New Roman" w:cs="Times New Roman"/>
        </w:rPr>
        <w:t xml:space="preserve"> </w:t>
      </w:r>
      <w:r w:rsidR="00C5391D" w:rsidRPr="001A2FAD">
        <w:rPr>
          <w:rFonts w:ascii="Times New Roman" w:hAnsi="Times New Roman" w:cs="Times New Roman"/>
        </w:rPr>
        <w:t xml:space="preserve">Studies have demonstrated that mechanization not only reduces labor costs but also enhances efficiency and productivity in onion farming </w:t>
      </w:r>
      <w:r w:rsidR="00C5391D"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&lt;EndNote&gt;&lt;Cite&gt;&lt;Author&gt;Khanpara&lt;/Author&gt;&lt;Year&gt;2024&lt;/Year&gt;&lt;RecNum&gt;51&lt;/RecNum&gt;&lt;DisplayText&gt;(Khanpara, Mehta, &amp;amp; Bharad, 2024)&lt;/DisplayText&gt;&lt;record&gt;&lt;rec-number&gt;51&lt;/rec-number&gt;&lt;foreign-keys&gt;&lt;key app="EN" db-id="x2savr2skzpztmesfatpfzd7x5rp5ze0d2df" timestamp="1739448456"&gt;51&lt;/key&gt;&lt;/foreign-keys&gt;&lt;ref-type name="Journal Article"&gt;17&lt;/ref-type&gt;&lt;contributors&gt;&lt;authors&gt;&lt;author&gt;Khanpara, BM&lt;/author&gt;&lt;author&gt;Mehta, TD&lt;/author&gt;&lt;author&gt;Bharad, NB %J Plant Archives&lt;/author&gt;&lt;/authors&gt;&lt;/contributors&gt;&lt;titles&gt;&lt;title&gt;Mechanization in Onion Harvesting: A Review of Traditional and Modern Approaches&lt;/title&gt;&lt;/titles&gt;&lt;pages&gt;21-28&lt;/pages&gt;&lt;volume&gt;24&lt;/volume&gt;&lt;dates&gt;&lt;year&gt;2024&lt;/year&gt;&lt;/dates&gt;&lt;urls&gt;&lt;/urls&gt;&lt;electronic-resource-num&gt;: https://doi.org/10.51470&lt;/electronic-resource-num&gt;&lt;/record&gt;&lt;/Cite&gt;&lt;/EndNote&gt;</w:instrText>
      </w:r>
      <w:r w:rsidR="00C5391D" w:rsidRPr="001A2FAD">
        <w:rPr>
          <w:rFonts w:ascii="Times New Roman" w:hAnsi="Times New Roman" w:cs="Times New Roman"/>
        </w:rPr>
        <w:fldChar w:fldCharType="separate"/>
      </w:r>
      <w:r w:rsidR="00064C6E">
        <w:rPr>
          <w:rFonts w:ascii="Times New Roman" w:hAnsi="Times New Roman" w:cs="Times New Roman"/>
          <w:noProof/>
        </w:rPr>
        <w:t>(Khanpara, Mehta, &amp; Bharad, 2024)</w:t>
      </w:r>
      <w:r w:rsidR="00C5391D" w:rsidRPr="001A2FAD">
        <w:rPr>
          <w:rFonts w:ascii="Times New Roman" w:hAnsi="Times New Roman" w:cs="Times New Roman"/>
        </w:rPr>
        <w:fldChar w:fldCharType="end"/>
      </w:r>
      <w:r w:rsidR="00C5391D" w:rsidRPr="001A2FAD">
        <w:rPr>
          <w:rFonts w:ascii="Times New Roman" w:hAnsi="Times New Roman" w:cs="Times New Roman"/>
        </w:rPr>
        <w:t xml:space="preserve">. </w:t>
      </w:r>
    </w:p>
    <w:p w14:paraId="3718D363" w14:textId="77777777" w:rsidR="00CA6728" w:rsidRPr="00CA6728" w:rsidRDefault="00CA6728" w:rsidP="0030271E">
      <w:pPr>
        <w:pStyle w:val="Heading3"/>
        <w:numPr>
          <w:ilvl w:val="2"/>
          <w:numId w:val="1"/>
        </w:numPr>
        <w:jc w:val="both"/>
        <w:rPr>
          <w:rFonts w:cs="Times New Roman"/>
          <w:szCs w:val="24"/>
        </w:rPr>
      </w:pPr>
      <w:r w:rsidRPr="00CA6728">
        <w:rPr>
          <w:rFonts w:cs="Times New Roman"/>
          <w:szCs w:val="24"/>
        </w:rPr>
        <w:t>Fertilizer Costs</w:t>
      </w:r>
    </w:p>
    <w:p w14:paraId="4E72566E" w14:textId="77777777" w:rsidR="00CA6728" w:rsidRPr="00CA6728" w:rsidRDefault="00CA6728" w:rsidP="00CA6728">
      <w:pPr>
        <w:spacing w:line="360" w:lineRule="auto"/>
        <w:jc w:val="both"/>
        <w:rPr>
          <w:rFonts w:ascii="Times New Roman" w:eastAsia="Times New Roman" w:hAnsi="Times New Roman" w:cs="Times New Roman"/>
          <w:kern w:val="0"/>
          <w14:ligatures w14:val="none"/>
        </w:rPr>
      </w:pPr>
      <w:r w:rsidRPr="00CA6728">
        <w:rPr>
          <w:rFonts w:ascii="Times New Roman" w:hAnsi="Times New Roman" w:cs="Times New Roman"/>
        </w:rPr>
        <w:t>Fertilizer</w:t>
      </w:r>
      <w:r w:rsidRPr="00CA6728">
        <w:rPr>
          <w:rFonts w:ascii="Times New Roman" w:eastAsia="Times New Roman" w:hAnsi="Times New Roman" w:cs="Times New Roman"/>
          <w:kern w:val="0"/>
          <w14:ligatures w14:val="none"/>
        </w:rPr>
        <w:t xml:space="preserve"> costs represented </w:t>
      </w:r>
      <w:r w:rsidRPr="00CA6728">
        <w:rPr>
          <w:rFonts w:ascii="Times New Roman" w:eastAsia="Times New Roman" w:hAnsi="Times New Roman" w:cs="Times New Roman"/>
          <w:bCs/>
          <w:kern w:val="0"/>
          <w14:ligatures w14:val="none"/>
        </w:rPr>
        <w:t>60,000 ETB ha⁻¹ (9.28%)</w:t>
      </w:r>
      <w:r w:rsidRPr="00CA6728">
        <w:rPr>
          <w:rFonts w:ascii="Times New Roman" w:eastAsia="Times New Roman" w:hAnsi="Times New Roman" w:cs="Times New Roman"/>
          <w:kern w:val="0"/>
          <w14:ligatures w14:val="none"/>
        </w:rPr>
        <w:t xml:space="preserve"> of total production expenses. These costs include expenditures on UREA and DAP fertilizers used to improve soil fertility and support crop growth. Adequate nutrient management is essential for achieving high onion yields and maintaining soil productivity. However, increasing fertilizer prices and inefficient application practices can significantly affect production profitability. The result highlights the importance of adopting soil-test-based fertilizer recommendations and site-specific nutrient management strategies to maximize fertilizer use efficiency while minimizing unnecessary expenditures.</w:t>
      </w:r>
    </w:p>
    <w:p w14:paraId="5CF620BF" w14:textId="77777777" w:rsidR="00C5391D" w:rsidRPr="001A2FAD" w:rsidRDefault="00C5391D" w:rsidP="0030271E">
      <w:pPr>
        <w:pStyle w:val="Heading3"/>
        <w:numPr>
          <w:ilvl w:val="2"/>
          <w:numId w:val="1"/>
        </w:numPr>
        <w:jc w:val="both"/>
        <w:rPr>
          <w:rFonts w:cs="Times New Roman"/>
          <w:szCs w:val="24"/>
        </w:rPr>
      </w:pPr>
      <w:r w:rsidRPr="001A2FAD">
        <w:rPr>
          <w:rFonts w:cs="Times New Roman"/>
          <w:szCs w:val="24"/>
        </w:rPr>
        <w:t>Land Rental and Preparation Costs</w:t>
      </w:r>
    </w:p>
    <w:p w14:paraId="3609A014" w14:textId="1C5461DE" w:rsidR="00C5391D" w:rsidRPr="001A2FAD" w:rsidRDefault="004C7433" w:rsidP="001A2FAD">
      <w:pPr>
        <w:spacing w:line="360" w:lineRule="auto"/>
        <w:jc w:val="both"/>
        <w:rPr>
          <w:rFonts w:ascii="Times New Roman" w:hAnsi="Times New Roman" w:cs="Times New Roman"/>
        </w:rPr>
      </w:pPr>
      <w:bookmarkStart w:id="8" w:name="_Hlk185012176"/>
      <w:bookmarkEnd w:id="7"/>
      <w:r w:rsidRPr="007D43B0">
        <w:rPr>
          <w:rFonts w:ascii="Times New Roman" w:eastAsia="Times New Roman" w:hAnsi="Times New Roman" w:cs="Times New Roman"/>
          <w:kern w:val="0"/>
          <w14:ligatures w14:val="none"/>
        </w:rPr>
        <w:t xml:space="preserve">Land inputs, comprising land rental and land preparation costs, amounted to </w:t>
      </w:r>
      <w:r w:rsidRPr="004C7433">
        <w:rPr>
          <w:rFonts w:ascii="Times New Roman" w:eastAsia="Times New Roman" w:hAnsi="Times New Roman" w:cs="Times New Roman"/>
          <w:bCs/>
          <w:kern w:val="0"/>
          <w14:ligatures w14:val="none"/>
        </w:rPr>
        <w:t>50,000 ETB ha⁻¹ (7.73%)</w:t>
      </w:r>
      <w:r w:rsidRPr="004C7433">
        <w:rPr>
          <w:rFonts w:ascii="Times New Roman" w:eastAsia="Times New Roman" w:hAnsi="Times New Roman" w:cs="Times New Roman"/>
          <w:kern w:val="0"/>
          <w14:ligatures w14:val="none"/>
        </w:rPr>
        <w:t xml:space="preserve">. </w:t>
      </w:r>
      <w:r w:rsidR="00C5391D" w:rsidRPr="004C7433">
        <w:rPr>
          <w:rFonts w:ascii="Times New Roman" w:hAnsi="Times New Roman" w:cs="Times New Roman"/>
        </w:rPr>
        <w:t xml:space="preserve"> </w:t>
      </w:r>
      <w:r w:rsidR="00C5391D" w:rsidRPr="001A2FAD">
        <w:rPr>
          <w:rFonts w:ascii="Times New Roman" w:hAnsi="Times New Roman" w:cs="Times New Roman"/>
        </w:rPr>
        <w:t>These expenses encompass essential activities such as land clearance, plowing, and canal preparation, all of which are critical for establishing a suitable environment for optimal onion growth.</w:t>
      </w:r>
      <w:r>
        <w:rPr>
          <w:rFonts w:ascii="Times New Roman" w:hAnsi="Times New Roman" w:cs="Times New Roman"/>
        </w:rPr>
        <w:t xml:space="preserve"> </w:t>
      </w:r>
      <w:r w:rsidR="00C5391D" w:rsidRPr="001A2FAD">
        <w:rPr>
          <w:rFonts w:ascii="Times New Roman" w:hAnsi="Times New Roman" w:cs="Times New Roman"/>
        </w:rPr>
        <w:t xml:space="preserve">The relatively moderate share of land-related costs suggests that land access is relatively affordable in the study area, likely due to the prevalence of irrigation-supported farming systems. These systems mitigate risks associated with rainfed agriculture, making land use more efficient and predictable. However, land rental and preparation costs can still pose a barrier for resource-constrained </w:t>
      </w:r>
      <w:r w:rsidR="0098404B" w:rsidRPr="001A2FAD">
        <w:rPr>
          <w:rFonts w:ascii="Times New Roman" w:hAnsi="Times New Roman" w:cs="Times New Roman"/>
        </w:rPr>
        <w:t>producers</w:t>
      </w:r>
      <w:r w:rsidR="00C5391D" w:rsidRPr="001A2FAD">
        <w:rPr>
          <w:rFonts w:ascii="Times New Roman" w:hAnsi="Times New Roman" w:cs="Times New Roman"/>
        </w:rPr>
        <w:t xml:space="preserve">, limiting their ability to engage in onion farming at a commercial scale </w:t>
      </w:r>
      <w:r w:rsidR="00C5391D"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&lt;EndNote&gt;&lt;Cite&gt;&lt;Author&gt;Hillenbrand&lt;/Author&gt;&lt;Year&gt;2022&lt;/Year&gt;&lt;RecNum&gt;53&lt;/RecNum&gt;&lt;DisplayText&gt;(Hillenbrand, 2022)&lt;/DisplayText&gt;&lt;record&gt;&lt;rec-number&gt;53&lt;/rec-number&gt;&lt;foreign-keys&gt;&lt;key app="EN" db-id="x2savr2skzpztmesfatpfzd7x5rp5ze0d2df" timestamp="1739448715"&gt;53&lt;/key&gt;&lt;/foreign-keys&gt;&lt;ref-type name="Thesis"&gt;32&lt;/ref-type&gt;&lt;contributors&gt;&lt;authors&gt;&lt;author&gt;Hillenbrand, Kim&lt;/author&gt;&lt;/authors&gt;&lt;/contributors&gt;&lt;titles&gt;&lt;title&gt;Inclusive Business Models in Ethiopia: The Impact of Value Chain Inclusion on Smallholder Farmers’ Use of Land and Irrigation&lt;/title&gt;&lt;/titles&gt;&lt;dates&gt;&lt;year&gt;2022&lt;/year&gt;&lt;/dates&gt;&lt;urls&gt;&lt;related-urls&gt;&lt;url&gt;https://studenttheses.uu.nl/handle/20.500.12932/42497&lt;/url&gt;&lt;/related-urls&gt;&lt;/urls&gt;&lt;/record&gt;&lt;/Cite&gt;&lt;/EndNote&gt;</w:instrText>
      </w:r>
      <w:r w:rsidR="00C5391D" w:rsidRPr="001A2FAD">
        <w:rPr>
          <w:rFonts w:ascii="Times New Roman" w:hAnsi="Times New Roman" w:cs="Times New Roman"/>
        </w:rPr>
        <w:fldChar w:fldCharType="separate"/>
      </w:r>
      <w:r w:rsidR="00064C6E">
        <w:rPr>
          <w:rFonts w:ascii="Times New Roman" w:hAnsi="Times New Roman" w:cs="Times New Roman"/>
          <w:noProof/>
        </w:rPr>
        <w:t>(Hillenbrand, 2022)</w:t>
      </w:r>
      <w:r w:rsidR="00C5391D" w:rsidRPr="001A2FAD">
        <w:rPr>
          <w:rFonts w:ascii="Times New Roman" w:hAnsi="Times New Roman" w:cs="Times New Roman"/>
        </w:rPr>
        <w:fldChar w:fldCharType="end"/>
      </w:r>
      <w:r w:rsidR="00C5391D" w:rsidRPr="001A2FAD">
        <w:rPr>
          <w:rFonts w:ascii="Times New Roman" w:hAnsi="Times New Roman" w:cs="Times New Roman"/>
        </w:rPr>
        <w:t xml:space="preserve">. </w:t>
      </w:r>
    </w:p>
    <w:p w14:paraId="2A4EDF68" w14:textId="77777777" w:rsidR="00C5391D" w:rsidRPr="001A2FAD" w:rsidRDefault="00C5391D" w:rsidP="0030271E">
      <w:pPr>
        <w:pStyle w:val="Heading3"/>
        <w:numPr>
          <w:ilvl w:val="2"/>
          <w:numId w:val="1"/>
        </w:numPr>
        <w:jc w:val="both"/>
        <w:rPr>
          <w:rFonts w:cs="Times New Roman"/>
          <w:szCs w:val="24"/>
        </w:rPr>
      </w:pPr>
      <w:r w:rsidRPr="001A2FAD">
        <w:rPr>
          <w:rFonts w:cs="Times New Roman"/>
          <w:szCs w:val="24"/>
        </w:rPr>
        <w:lastRenderedPageBreak/>
        <w:t>Post-Harvest and Storage Costs</w:t>
      </w:r>
      <w:bookmarkEnd w:id="8"/>
    </w:p>
    <w:p w14:paraId="0656BB95" w14:textId="0D7308D8" w:rsidR="00C5391D" w:rsidRDefault="000A0167" w:rsidP="001A2FAD">
      <w:pPr>
        <w:spacing w:line="360" w:lineRule="auto"/>
        <w:jc w:val="both"/>
        <w:rPr>
          <w:rFonts w:ascii="Times New Roman" w:hAnsi="Times New Roman" w:cs="Times New Roman"/>
        </w:rPr>
      </w:pPr>
      <w:r w:rsidRPr="000A0167">
        <w:rPr>
          <w:rFonts w:ascii="Times New Roman" w:hAnsi="Times New Roman" w:cs="Times New Roman"/>
        </w:rPr>
        <w:t xml:space="preserve">Post-harvest handling and storage costs also accounted for </w:t>
      </w:r>
      <w:r w:rsidRPr="000A0167">
        <w:rPr>
          <w:rFonts w:ascii="Times New Roman" w:hAnsi="Times New Roman" w:cs="Times New Roman"/>
          <w:bCs/>
        </w:rPr>
        <w:t>50,000 ETB ha⁻¹ (7.73%)</w:t>
      </w:r>
      <w:r w:rsidRPr="000A0167">
        <w:rPr>
          <w:rFonts w:ascii="Times New Roman" w:hAnsi="Times New Roman" w:cs="Times New Roman"/>
        </w:rPr>
        <w:t xml:space="preserve"> of total expenditure. These costs include harvesting, sorting, grading, cleaning, packaging, temporary storage, and handling operations before marketing. Effective post-harvest management is critical for maintaining bulb quality and reducing losses during storage and transportation. The observed expenditure highlights the importance of proper handling practices and improved storage facilities. Investment in improved storage technologies could reduce post-harvest losses and enhance marketable yield, thereby improving profitability.</w:t>
      </w:r>
      <w:r>
        <w:rPr>
          <w:rFonts w:ascii="Times New Roman" w:hAnsi="Times New Roman" w:cs="Times New Roman"/>
        </w:rPr>
        <w:t xml:space="preserve"> </w:t>
      </w:r>
      <w:r w:rsidRPr="001A2FAD">
        <w:rPr>
          <w:rFonts w:ascii="Times New Roman" w:hAnsi="Times New Roman" w:cs="Times New Roman"/>
        </w:rPr>
        <w:t xml:space="preserve">Such facilities can significantly reduce spoilage and extend the shelf life of onions, thereby enhancing marketability and profitability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&lt;EndNote&gt;&lt;Cite&gt;&lt;Author&gt;Ilyas&lt;/Author&gt;&lt;Year&gt;2010&lt;/Year&gt;&lt;RecNum&gt;57&lt;/RecNum&gt;&lt;DisplayText&gt;(Ilyas, 2010)&lt;/DisplayText&gt;&lt;record&gt;&lt;rec-number&gt;57&lt;/rec-number&gt;&lt;foreign-keys&gt;&lt;key app="EN" db-id="x2savr2skzpztmesfatpfzd7x5rp5ze0d2df" timestamp="1739449325"&gt;57&lt;/key&gt;&lt;/foreign-keys&gt;&lt;ref-type name="Conference Proceedings"&gt;10&lt;/ref-type&gt;&lt;contributors&gt;&lt;authors&gt;&lt;author&gt;Ilyas, Syed Mohammed&lt;/author&gt;&lt;/authors&gt;&lt;/contributors&gt;&lt;titles&gt;&lt;title&gt;Best practices for efficient postharvest management of fruits and vegetables for higher value addition and profitability&lt;/title&gt;&lt;secondary-title&gt;Technology on Reducing Post-harvest Losses and Maintaining Quality of Fruits and Vegetables Proceedings of 2010 AARDO Workshop&lt;/secondary-title&gt;&lt;/titles&gt;&lt;dates&gt;&lt;year&gt;2010&lt;/year&gt;&lt;/dates&gt;</w:instrText>
      </w:r>
      <w:r w:rsidR="00064C6E">
        <w:rPr>
          <w:rFonts w:ascii="Times New Roman" w:hAnsi="Times New Roman" w:cs="Times New Roman" w:hint="eastAsia"/>
        </w:rPr>
        <w:instrText>&lt;publisher&gt;&lt;style face="normal" font="default" charset="134" size="100%"&gt;</w:instrText>
      </w:r>
      <w:r w:rsidR="00064C6E">
        <w:rPr>
          <w:rFonts w:ascii="Times New Roman" w:hAnsi="Times New Roman" w:cs="Times New Roman" w:hint="eastAsia"/>
        </w:rPr>
        <w:instrText>農業試驗所</w:instrText>
      </w:r>
      <w:r w:rsidR="00064C6E">
        <w:rPr>
          <w:rFonts w:ascii="Times New Roman" w:hAnsi="Times New Roman" w:cs="Times New Roman" w:hint="eastAsia"/>
        </w:rPr>
        <w:instrText>&lt;/style&gt;&lt;/publisher&gt;&lt;isbn&gt;9860261067&lt;/isbn&gt;&lt;urls&gt;&lt;related-urls&gt;&lt;url&gt;https://scholars.tari.gov.tw/handle/123456789/2625&lt;/url&gt;&lt;/related-urls&gt;&lt;/urls&gt;&lt;/record&gt;&lt;/Cite&gt;&lt;/EndNote&gt;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(Ilyas, 2010)</w:t>
      </w:r>
      <w:r w:rsidRPr="001A2FAD">
        <w:rPr>
          <w:rFonts w:ascii="Times New Roman" w:hAnsi="Times New Roman" w:cs="Times New Roman"/>
        </w:rPr>
        <w:fldChar w:fldCharType="end"/>
      </w:r>
      <w:r w:rsidRPr="001A2FAD">
        <w:rPr>
          <w:rFonts w:ascii="Times New Roman" w:hAnsi="Times New Roman" w:cs="Times New Roman"/>
        </w:rPr>
        <w:t>.</w:t>
      </w:r>
      <w:r>
        <w:rPr>
          <w:rFonts w:ascii="Times New Roman" w:hAnsi="Times New Roman" w:cs="Times New Roman"/>
        </w:rPr>
        <w:t xml:space="preserve"> </w:t>
      </w:r>
      <w:r w:rsidR="00C5391D" w:rsidRPr="001A2FAD">
        <w:rPr>
          <w:rFonts w:ascii="Times New Roman" w:hAnsi="Times New Roman" w:cs="Times New Roman"/>
        </w:rPr>
        <w:t xml:space="preserve">Despite its importance, inadequate storage infrastructure remains a significant challenge, often resulting in high post-harvest losses that reduce the economic value of onions. Poor ventilation, improper handling, and a lack of cold storage facilities contribute to these losses, particularly in warm and humid climates </w:t>
      </w:r>
      <w:r w:rsidR="00C5391D"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&lt;EndNote&gt;&lt;Cite&gt;&lt;Author&gt;Kiaya&lt;/Author&gt;&lt;Year&gt;2014&lt;/Year&gt;&lt;RecNum&gt;56&lt;/RecNum&gt;&lt;DisplayText&gt;(Kiaya, 2014)&lt;/DisplayText&gt;&lt;record&gt;&lt;rec-number&gt;56&lt;/rec-number&gt;&lt;foreign-keys&gt;&lt;key app="EN" db-id="x2savr2skzpztmesfatpfzd7x5rp5ze0d2df" timestamp="1739449197"&gt;56&lt;/key&gt;&lt;/foreign-keys&gt;&lt;ref-type name="Journal Article"&gt;17&lt;/ref-type&gt;&lt;contributors&gt;&lt;authors&gt;&lt;author&gt;Kiaya, Victor %J Technical Paper on Postharvest Losses, Action Contre la Faim&lt;/author&gt;&lt;/authors&gt;&lt;/contributors&gt;&lt;titles&gt;&lt;title&gt;Post-harvest losses and strategies to reduce them&lt;/title&gt;&lt;/titles&gt;&lt;pages&gt;1-25&lt;/pages&gt;&lt;volume&gt;25&lt;/volume&gt;&lt;number&gt;3&lt;/number&gt;&lt;dates&gt;&lt;year&gt;2014&lt;/year&gt;&lt;/dates&gt;&lt;urls&gt;&lt;/urls&gt;&lt;/record&gt;&lt;/Cite&gt;&lt;/EndNote&gt;</w:instrText>
      </w:r>
      <w:r w:rsidR="00C5391D" w:rsidRPr="001A2FAD">
        <w:rPr>
          <w:rFonts w:ascii="Times New Roman" w:hAnsi="Times New Roman" w:cs="Times New Roman"/>
        </w:rPr>
        <w:fldChar w:fldCharType="separate"/>
      </w:r>
      <w:r w:rsidR="00064C6E">
        <w:rPr>
          <w:rFonts w:ascii="Times New Roman" w:hAnsi="Times New Roman" w:cs="Times New Roman"/>
          <w:noProof/>
        </w:rPr>
        <w:t>(Kiaya, 2014)</w:t>
      </w:r>
      <w:r w:rsidR="00C5391D" w:rsidRPr="001A2FAD">
        <w:rPr>
          <w:rFonts w:ascii="Times New Roman" w:hAnsi="Times New Roman" w:cs="Times New Roman"/>
        </w:rPr>
        <w:fldChar w:fldCharType="end"/>
      </w:r>
      <w:r w:rsidR="00C5391D" w:rsidRPr="001A2FAD">
        <w:rPr>
          <w:rFonts w:ascii="Times New Roman" w:hAnsi="Times New Roman" w:cs="Times New Roman"/>
        </w:rPr>
        <w:t xml:space="preserve">. Furthermore, training </w:t>
      </w:r>
      <w:r w:rsidR="0098404B" w:rsidRPr="001A2FAD">
        <w:rPr>
          <w:rFonts w:ascii="Times New Roman" w:hAnsi="Times New Roman" w:cs="Times New Roman"/>
        </w:rPr>
        <w:t>producers</w:t>
      </w:r>
      <w:r w:rsidR="00C5391D" w:rsidRPr="001A2FAD">
        <w:rPr>
          <w:rFonts w:ascii="Times New Roman" w:hAnsi="Times New Roman" w:cs="Times New Roman"/>
        </w:rPr>
        <w:t xml:space="preserve"> in proper post-harvest handling techniques, including sorting, grading, and packaging, can further improve the quality and market appeal of the produce </w:t>
      </w:r>
      <w:r w:rsidR="00C5391D"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&lt;EndNote&gt;&lt;Cite&gt;&lt;Author&gt;Osei-Kwarteng&lt;/Author&gt;&lt;Year&gt;2024&lt;/Year&gt;&lt;RecNum&gt;58&lt;/RecNum&gt;&lt;DisplayText&gt;(Osei-Kwarteng, Ogwu, Mahunu, &amp;amp; Afoakwah, 2024)&lt;/DisplayText&gt;&lt;record&gt;&lt;rec-number&gt;58&lt;/rec-number&gt;&lt;foreign-keys&gt;&lt;key app="EN" db-id="x2savr2skzpztmesfatpfzd7x5rp5ze0d2df" timestamp="1739449384"&gt;58&lt;/key&gt;&lt;/foreign-keys&gt;&lt;ref-type name="Book Section"&gt;5&lt;/ref-type&gt;&lt;contributors&gt;&lt;authors&gt;&lt;author&gt;Osei-Kwarteng, Mildred&lt;/author&gt;&lt;author&gt;Ogwu, Matthew Chidozie&lt;/author&gt;&lt;author&gt;Mahunu, Gustav K&lt;/author&gt;&lt;author&gt;Afoakwah, Newlove Akowuah&lt;/author&gt;&lt;/authors&gt;&lt;/contributors&gt;&lt;titles&gt;&lt;title&gt;Post-harvest Food Quality and Safety in the Global South: Sustainable Management Perspectives&lt;/title&gt;&lt;secondary-title&gt;Food Safety and Quality in the Global South&lt;/secondary-title&gt;&lt;/titles&gt;&lt;pages&gt;151-195&lt;/pages&gt;&lt;dates&gt;&lt;year&gt;2024&lt;/year&gt;&lt;/dates&gt;&lt;publisher&gt;Springer&lt;/publisher&gt;&lt;urls&gt;&lt;/urls&gt;&lt;electronic-resource-num&gt;https://doi.org/10.1007/978-981-97-2428-4_6&lt;/electronic-resource-num&gt;&lt;/record&gt;&lt;/Cite&gt;&lt;/EndNote&gt;</w:instrText>
      </w:r>
      <w:r w:rsidR="00C5391D" w:rsidRPr="001A2FAD">
        <w:rPr>
          <w:rFonts w:ascii="Times New Roman" w:hAnsi="Times New Roman" w:cs="Times New Roman"/>
        </w:rPr>
        <w:fldChar w:fldCharType="separate"/>
      </w:r>
      <w:r w:rsidR="00064C6E">
        <w:rPr>
          <w:rFonts w:ascii="Times New Roman" w:hAnsi="Times New Roman" w:cs="Times New Roman"/>
          <w:noProof/>
        </w:rPr>
        <w:t>(Osei-Kwarteng, Ogwu, Mahunu, &amp; Afoakwah, 2024)</w:t>
      </w:r>
      <w:r w:rsidR="00C5391D" w:rsidRPr="001A2FAD">
        <w:rPr>
          <w:rFonts w:ascii="Times New Roman" w:hAnsi="Times New Roman" w:cs="Times New Roman"/>
        </w:rPr>
        <w:fldChar w:fldCharType="end"/>
      </w:r>
      <w:r w:rsidR="00C5391D" w:rsidRPr="001A2FAD">
        <w:rPr>
          <w:rFonts w:ascii="Times New Roman" w:hAnsi="Times New Roman" w:cs="Times New Roman"/>
        </w:rPr>
        <w:t xml:space="preserve">. </w:t>
      </w:r>
    </w:p>
    <w:p w14:paraId="337C9191" w14:textId="77777777" w:rsidR="0026057C" w:rsidRPr="0026057C" w:rsidRDefault="0026057C" w:rsidP="0030271E">
      <w:pPr>
        <w:pStyle w:val="Heading3"/>
        <w:numPr>
          <w:ilvl w:val="2"/>
          <w:numId w:val="1"/>
        </w:numPr>
        <w:jc w:val="both"/>
        <w:rPr>
          <w:rFonts w:cs="Times New Roman"/>
          <w:szCs w:val="24"/>
        </w:rPr>
      </w:pPr>
      <w:r w:rsidRPr="0026057C">
        <w:rPr>
          <w:rFonts w:cs="Times New Roman"/>
          <w:szCs w:val="24"/>
        </w:rPr>
        <w:t>Seed Costs</w:t>
      </w:r>
    </w:p>
    <w:p w14:paraId="4CE9336E" w14:textId="77777777" w:rsidR="0026057C" w:rsidRPr="0026057C" w:rsidRDefault="0026057C" w:rsidP="0026057C">
      <w:pPr>
        <w:spacing w:line="360" w:lineRule="auto"/>
        <w:jc w:val="both"/>
        <w:rPr>
          <w:rFonts w:ascii="Times New Roman" w:hAnsi="Times New Roman" w:cs="Times New Roman"/>
        </w:rPr>
      </w:pPr>
      <w:r w:rsidRPr="0026057C">
        <w:rPr>
          <w:rFonts w:ascii="Times New Roman" w:hAnsi="Times New Roman" w:cs="Times New Roman"/>
        </w:rPr>
        <w:t xml:space="preserve">Seed costs accounted for </w:t>
      </w:r>
      <w:r w:rsidRPr="0026057C">
        <w:rPr>
          <w:rFonts w:ascii="Times New Roman" w:hAnsi="Times New Roman" w:cs="Times New Roman"/>
          <w:bCs/>
        </w:rPr>
        <w:t>36,880 ETB ha⁻¹ (5.70%)</w:t>
      </w:r>
      <w:r w:rsidRPr="0026057C">
        <w:rPr>
          <w:rFonts w:ascii="Times New Roman" w:hAnsi="Times New Roman" w:cs="Times New Roman"/>
        </w:rPr>
        <w:t xml:space="preserve"> of total production costs. Although relatively small compared with other cost components, seed quality plays a crucial role in determining crop establishment, plant vigor, and final yield. The use of certified and high-quality seed contributes to improved germination, uniform crop growth, and enhanced productivity. Therefore, maintaining access to quality seed remains essential despite its relatively modest contribution to total production costs.</w:t>
      </w:r>
    </w:p>
    <w:p w14:paraId="2966CEF1" w14:textId="77777777" w:rsidR="0026057C" w:rsidRPr="0026057C" w:rsidRDefault="0026057C" w:rsidP="0030271E">
      <w:pPr>
        <w:pStyle w:val="Heading3"/>
        <w:numPr>
          <w:ilvl w:val="2"/>
          <w:numId w:val="1"/>
        </w:numPr>
        <w:jc w:val="both"/>
        <w:rPr>
          <w:rFonts w:cs="Times New Roman"/>
          <w:szCs w:val="24"/>
        </w:rPr>
      </w:pPr>
      <w:r w:rsidRPr="0026057C">
        <w:rPr>
          <w:rFonts w:cs="Times New Roman"/>
          <w:szCs w:val="24"/>
        </w:rPr>
        <w:t>Irrigation Costs</w:t>
      </w:r>
    </w:p>
    <w:p w14:paraId="681DAE11" w14:textId="01E981D3" w:rsidR="0026057C" w:rsidRPr="0026057C" w:rsidRDefault="0026057C" w:rsidP="0026057C">
      <w:pPr>
        <w:spacing w:line="360" w:lineRule="auto"/>
        <w:jc w:val="both"/>
        <w:rPr>
          <w:rFonts w:ascii="Times New Roman" w:hAnsi="Times New Roman" w:cs="Times New Roman"/>
        </w:rPr>
      </w:pPr>
      <w:r w:rsidRPr="0026057C">
        <w:rPr>
          <w:rFonts w:ascii="Times New Roman" w:hAnsi="Times New Roman" w:cs="Times New Roman"/>
        </w:rPr>
        <w:t xml:space="preserve">Irrigation costs represented the smallest expenditure category, amounting to </w:t>
      </w:r>
      <w:r w:rsidRPr="0026057C">
        <w:rPr>
          <w:rFonts w:ascii="Times New Roman" w:hAnsi="Times New Roman" w:cs="Times New Roman"/>
          <w:bCs/>
        </w:rPr>
        <w:t>34,000 ETB ha⁻¹ (5.26%)</w:t>
      </w:r>
      <w:r w:rsidRPr="0026057C">
        <w:rPr>
          <w:rFonts w:ascii="Times New Roman" w:hAnsi="Times New Roman" w:cs="Times New Roman"/>
        </w:rPr>
        <w:t xml:space="preserve">. These costs include water application, irrigation infrastructure maintenance, and related operational expenses. The relatively low share of irrigation costs indicates efficient utilization of irrigation resources within the production system. Nevertheless, irrigation remains a critical component of onion production in arid and semi-arid environments, where crop growth depends heavily on </w:t>
      </w:r>
      <w:r w:rsidR="00855169">
        <w:rPr>
          <w:rFonts w:ascii="Times New Roman" w:hAnsi="Times New Roman" w:cs="Times New Roman"/>
        </w:rPr>
        <w:t xml:space="preserve">a </w:t>
      </w:r>
      <w:r w:rsidRPr="0026057C">
        <w:rPr>
          <w:rFonts w:ascii="Times New Roman" w:hAnsi="Times New Roman" w:cs="Times New Roman"/>
        </w:rPr>
        <w:t>reliable water supply. Improving irrigation efficiency through better scheduling and water management practices could further enhance resource use efficiency and productivity.</w:t>
      </w:r>
    </w:p>
    <w:p w14:paraId="4866FB40" w14:textId="51ACDD65" w:rsidR="00C5391D" w:rsidRPr="001A2FAD" w:rsidRDefault="00C5391D" w:rsidP="001A2FAD">
      <w:pPr>
        <w:spacing w:line="240" w:lineRule="auto"/>
        <w:jc w:val="both"/>
        <w:rPr>
          <w:rFonts w:ascii="Times New Roman" w:hAnsi="Times New Roman" w:cs="Times New Roman"/>
        </w:rPr>
      </w:pPr>
      <w:r w:rsidRPr="001A2FAD">
        <w:rPr>
          <w:rFonts w:ascii="Times New Roman" w:hAnsi="Times New Roman" w:cs="Times New Roman"/>
        </w:rPr>
        <w:lastRenderedPageBreak/>
        <w:t xml:space="preserve"> Table </w:t>
      </w:r>
      <w:r w:rsidRPr="001A2FAD">
        <w:rPr>
          <w:rFonts w:ascii="Times New Roman" w:hAnsi="Times New Roman" w:cs="Times New Roman"/>
        </w:rPr>
        <w:fldChar w:fldCharType="begin"/>
      </w:r>
      <w:r w:rsidRPr="001A2FAD">
        <w:rPr>
          <w:rFonts w:ascii="Times New Roman" w:hAnsi="Times New Roman" w:cs="Times New Roman"/>
        </w:rPr>
        <w:instrText xml:space="preserve"> SEQ Table \* ARABIC </w:instrText>
      </w:r>
      <w:r w:rsidRPr="001A2FAD">
        <w:rPr>
          <w:rFonts w:ascii="Times New Roman" w:hAnsi="Times New Roman" w:cs="Times New Roman"/>
        </w:rPr>
        <w:fldChar w:fldCharType="separate"/>
      </w:r>
      <w:r w:rsidR="00301823" w:rsidRPr="001A2FAD">
        <w:rPr>
          <w:rFonts w:ascii="Times New Roman" w:hAnsi="Times New Roman" w:cs="Times New Roman"/>
          <w:noProof/>
        </w:rPr>
        <w:t>1</w:t>
      </w:r>
      <w:r w:rsidRPr="001A2FAD">
        <w:rPr>
          <w:rFonts w:ascii="Times New Roman" w:hAnsi="Times New Roman" w:cs="Times New Roman"/>
        </w:rPr>
        <w:fldChar w:fldCharType="end"/>
      </w:r>
      <w:r w:rsidRPr="001A2FAD">
        <w:rPr>
          <w:rFonts w:ascii="Times New Roman" w:hAnsi="Times New Roman" w:cs="Times New Roman"/>
        </w:rPr>
        <w:t xml:space="preserve">: </w:t>
      </w:r>
      <w:r w:rsidR="00A525A6" w:rsidRPr="001A2FAD">
        <w:rPr>
          <w:rFonts w:ascii="Times New Roman" w:hAnsi="Times New Roman" w:cs="Times New Roman"/>
        </w:rPr>
        <w:t>Production and Marketing Cost Structure of Onion Production under Irrigated Conditions (ETB ha⁻¹)</w:t>
      </w:r>
    </w:p>
    <w:tbl>
      <w:tblPr>
        <w:tblW w:w="4603" w:type="pct"/>
        <w:jc w:val="center"/>
        <w:tblBorders>
          <w:bottom w:val="single" w:sz="8" w:space="0" w:color="8064A2" w:themeColor="accent4"/>
        </w:tblBorders>
        <w:tblLook w:val="04A0" w:firstRow="1" w:lastRow="0" w:firstColumn="1" w:lastColumn="0" w:noHBand="0" w:noVBand="1"/>
      </w:tblPr>
      <w:tblGrid>
        <w:gridCol w:w="5299"/>
        <w:gridCol w:w="3318"/>
      </w:tblGrid>
      <w:tr w:rsidR="009B7A3A" w:rsidRPr="001A2FAD" w14:paraId="6D702944" w14:textId="77777777" w:rsidTr="00F27B21">
        <w:trPr>
          <w:trHeight w:val="12"/>
          <w:jc w:val="center"/>
        </w:trPr>
        <w:tc>
          <w:tcPr>
            <w:tcW w:w="0" w:type="auto"/>
            <w:tcBorders>
              <w:top w:val="single" w:sz="4" w:space="0" w:color="auto"/>
              <w:left w:val="nil"/>
              <w:bottom w:val="single" w:sz="4" w:space="0" w:color="auto"/>
              <w:right w:val="nil"/>
            </w:tcBorders>
            <w:shd w:val="clear" w:color="auto" w:fill="9BBB59" w:themeFill="accent3"/>
            <w:vAlign w:val="center"/>
            <w:hideMark/>
          </w:tcPr>
          <w:p w14:paraId="31C1A1F7" w14:textId="77777777" w:rsidR="009B7A3A" w:rsidRPr="001A2FAD" w:rsidRDefault="009B7A3A" w:rsidP="001A2FAD">
            <w:pPr>
              <w:spacing w:line="240" w:lineRule="auto"/>
              <w:jc w:val="both"/>
              <w:rPr>
                <w:rFonts w:ascii="Times New Roman" w:hAnsi="Times New Roman" w:cs="Times New Roman"/>
                <w:b/>
                <w:bCs/>
              </w:rPr>
            </w:pPr>
            <w:r w:rsidRPr="001A2FAD">
              <w:rPr>
                <w:rFonts w:ascii="Times New Roman" w:hAnsi="Times New Roman" w:cs="Times New Roman"/>
                <w:b/>
                <w:bCs/>
              </w:rPr>
              <w:t>Component</w:t>
            </w:r>
          </w:p>
        </w:tc>
        <w:tc>
          <w:tcPr>
            <w:tcW w:w="0" w:type="auto"/>
            <w:tcBorders>
              <w:top w:val="single" w:sz="4" w:space="0" w:color="auto"/>
              <w:left w:val="nil"/>
              <w:bottom w:val="single" w:sz="4" w:space="0" w:color="auto"/>
              <w:right w:val="nil"/>
            </w:tcBorders>
            <w:shd w:val="clear" w:color="auto" w:fill="9BBB59" w:themeFill="accent3"/>
            <w:vAlign w:val="center"/>
            <w:hideMark/>
          </w:tcPr>
          <w:p w14:paraId="6C6F40CB" w14:textId="6541E85A" w:rsidR="009B7A3A" w:rsidRPr="001A2FAD" w:rsidRDefault="009B7A3A" w:rsidP="00F27B21">
            <w:pPr>
              <w:spacing w:line="240" w:lineRule="auto"/>
              <w:jc w:val="center"/>
              <w:rPr>
                <w:rFonts w:ascii="Times New Roman" w:hAnsi="Times New Roman" w:cs="Times New Roman"/>
                <w:b/>
                <w:bCs/>
              </w:rPr>
            </w:pPr>
            <w:r w:rsidRPr="001A2FAD">
              <w:rPr>
                <w:rFonts w:ascii="Times New Roman" w:hAnsi="Times New Roman" w:cs="Times New Roman"/>
                <w:b/>
                <w:bCs/>
              </w:rPr>
              <w:t xml:space="preserve">Cost (ETB </w:t>
            </w:r>
            <w:r w:rsidRPr="001A2FAD">
              <w:rPr>
                <w:rFonts w:ascii="Times New Roman" w:hAnsi="Times New Roman" w:cs="Times New Roman"/>
              </w:rPr>
              <w:t>ha⁻¹</w:t>
            </w:r>
            <w:r w:rsidRPr="001A2FAD">
              <w:rPr>
                <w:rFonts w:ascii="Times New Roman" w:hAnsi="Times New Roman" w:cs="Times New Roman"/>
                <w:b/>
                <w:bCs/>
              </w:rPr>
              <w:t>)</w:t>
            </w:r>
          </w:p>
        </w:tc>
      </w:tr>
      <w:tr w:rsidR="009B7A3A" w:rsidRPr="001A2FAD" w14:paraId="783A776F" w14:textId="77777777" w:rsidTr="00F27B21">
        <w:trPr>
          <w:trHeight w:val="12"/>
          <w:jc w:val="center"/>
        </w:trPr>
        <w:tc>
          <w:tcPr>
            <w:tcW w:w="0" w:type="auto"/>
            <w:tcBorders>
              <w:top w:val="single" w:sz="4" w:space="0" w:color="auto"/>
              <w:left w:val="nil"/>
              <w:bottom w:val="nil"/>
              <w:right w:val="nil"/>
            </w:tcBorders>
            <w:vAlign w:val="center"/>
            <w:hideMark/>
          </w:tcPr>
          <w:p w14:paraId="02EC0A73" w14:textId="77777777" w:rsidR="009B7A3A" w:rsidRPr="001A2FAD" w:rsidRDefault="009B7A3A" w:rsidP="001A2FAD">
            <w:pPr>
              <w:spacing w:line="240" w:lineRule="auto"/>
              <w:jc w:val="both"/>
              <w:rPr>
                <w:rFonts w:ascii="Times New Roman" w:hAnsi="Times New Roman" w:cs="Times New Roman"/>
              </w:rPr>
            </w:pPr>
            <w:r w:rsidRPr="001A2FAD">
              <w:rPr>
                <w:rFonts w:ascii="Times New Roman" w:hAnsi="Times New Roman" w:cs="Times New Roman"/>
              </w:rPr>
              <w:t>Land Inputs (Rental + Prep)</w:t>
            </w:r>
          </w:p>
        </w:tc>
        <w:tc>
          <w:tcPr>
            <w:tcW w:w="0" w:type="auto"/>
            <w:tcBorders>
              <w:top w:val="single" w:sz="4" w:space="0" w:color="auto"/>
              <w:left w:val="nil"/>
              <w:bottom w:val="nil"/>
              <w:right w:val="nil"/>
            </w:tcBorders>
            <w:vAlign w:val="center"/>
            <w:hideMark/>
          </w:tcPr>
          <w:p w14:paraId="345981D2" w14:textId="77777777" w:rsidR="009B7A3A" w:rsidRPr="001A2FAD" w:rsidRDefault="009B7A3A" w:rsidP="00F27B21">
            <w:pPr>
              <w:spacing w:line="240" w:lineRule="auto"/>
              <w:jc w:val="center"/>
              <w:rPr>
                <w:rFonts w:ascii="Times New Roman" w:hAnsi="Times New Roman" w:cs="Times New Roman"/>
              </w:rPr>
            </w:pPr>
            <w:r w:rsidRPr="001A2FAD">
              <w:rPr>
                <w:rFonts w:ascii="Times New Roman" w:hAnsi="Times New Roman" w:cs="Times New Roman"/>
              </w:rPr>
              <w:t>50,000</w:t>
            </w:r>
          </w:p>
        </w:tc>
      </w:tr>
      <w:tr w:rsidR="009B7A3A" w:rsidRPr="001A2FAD" w14:paraId="27D4F7D2" w14:textId="77777777" w:rsidTr="0098404B">
        <w:trPr>
          <w:trHeight w:val="12"/>
          <w:jc w:val="center"/>
        </w:trPr>
        <w:tc>
          <w:tcPr>
            <w:tcW w:w="0" w:type="auto"/>
            <w:tcBorders>
              <w:top w:val="nil"/>
              <w:left w:val="nil"/>
              <w:bottom w:val="nil"/>
              <w:right w:val="nil"/>
            </w:tcBorders>
            <w:vAlign w:val="center"/>
            <w:hideMark/>
          </w:tcPr>
          <w:p w14:paraId="7604C865" w14:textId="77777777" w:rsidR="009B7A3A" w:rsidRPr="001A2FAD" w:rsidRDefault="009B7A3A" w:rsidP="001A2FAD">
            <w:pPr>
              <w:spacing w:line="240" w:lineRule="auto"/>
              <w:jc w:val="both"/>
              <w:rPr>
                <w:rFonts w:ascii="Times New Roman" w:hAnsi="Times New Roman" w:cs="Times New Roman"/>
              </w:rPr>
            </w:pPr>
            <w:r w:rsidRPr="001A2FAD">
              <w:rPr>
                <w:rFonts w:ascii="Times New Roman" w:hAnsi="Times New Roman" w:cs="Times New Roman"/>
              </w:rPr>
              <w:t>Seed Rate</w:t>
            </w:r>
          </w:p>
        </w:tc>
        <w:tc>
          <w:tcPr>
            <w:tcW w:w="0" w:type="auto"/>
            <w:tcBorders>
              <w:top w:val="nil"/>
              <w:left w:val="nil"/>
              <w:bottom w:val="nil"/>
              <w:right w:val="nil"/>
            </w:tcBorders>
            <w:vAlign w:val="center"/>
            <w:hideMark/>
          </w:tcPr>
          <w:p w14:paraId="3088BA43" w14:textId="77777777" w:rsidR="009B7A3A" w:rsidRPr="001A2FAD" w:rsidRDefault="009B7A3A" w:rsidP="00F27B21">
            <w:pPr>
              <w:spacing w:line="240" w:lineRule="auto"/>
              <w:jc w:val="center"/>
              <w:rPr>
                <w:rFonts w:ascii="Times New Roman" w:hAnsi="Times New Roman" w:cs="Times New Roman"/>
              </w:rPr>
            </w:pPr>
            <w:r w:rsidRPr="001A2FAD">
              <w:rPr>
                <w:rFonts w:ascii="Times New Roman" w:hAnsi="Times New Roman" w:cs="Times New Roman"/>
              </w:rPr>
              <w:t>36,880</w:t>
            </w:r>
          </w:p>
        </w:tc>
      </w:tr>
      <w:tr w:rsidR="009B7A3A" w:rsidRPr="001A2FAD" w14:paraId="7F698939" w14:textId="77777777" w:rsidTr="0098404B">
        <w:trPr>
          <w:trHeight w:val="12"/>
          <w:jc w:val="center"/>
        </w:trPr>
        <w:tc>
          <w:tcPr>
            <w:tcW w:w="0" w:type="auto"/>
            <w:tcBorders>
              <w:top w:val="nil"/>
              <w:left w:val="nil"/>
              <w:bottom w:val="nil"/>
              <w:right w:val="nil"/>
            </w:tcBorders>
            <w:vAlign w:val="center"/>
            <w:hideMark/>
          </w:tcPr>
          <w:p w14:paraId="3033F6F3" w14:textId="77777777" w:rsidR="009B7A3A" w:rsidRPr="001A2FAD" w:rsidRDefault="009B7A3A" w:rsidP="001A2FAD">
            <w:pPr>
              <w:spacing w:line="240" w:lineRule="auto"/>
              <w:jc w:val="both"/>
              <w:rPr>
                <w:rFonts w:ascii="Times New Roman" w:hAnsi="Times New Roman" w:cs="Times New Roman"/>
              </w:rPr>
            </w:pPr>
            <w:r w:rsidRPr="001A2FAD">
              <w:rPr>
                <w:rFonts w:ascii="Times New Roman" w:hAnsi="Times New Roman" w:cs="Times New Roman"/>
              </w:rPr>
              <w:t>Irrigation</w:t>
            </w:r>
          </w:p>
        </w:tc>
        <w:tc>
          <w:tcPr>
            <w:tcW w:w="0" w:type="auto"/>
            <w:tcBorders>
              <w:top w:val="nil"/>
              <w:left w:val="nil"/>
              <w:bottom w:val="nil"/>
              <w:right w:val="nil"/>
            </w:tcBorders>
            <w:vAlign w:val="center"/>
            <w:hideMark/>
          </w:tcPr>
          <w:p w14:paraId="5495A2F1" w14:textId="77777777" w:rsidR="009B7A3A" w:rsidRPr="001A2FAD" w:rsidRDefault="009B7A3A" w:rsidP="00F27B21">
            <w:pPr>
              <w:spacing w:line="240" w:lineRule="auto"/>
              <w:jc w:val="center"/>
              <w:rPr>
                <w:rFonts w:ascii="Times New Roman" w:hAnsi="Times New Roman" w:cs="Times New Roman"/>
              </w:rPr>
            </w:pPr>
            <w:r w:rsidRPr="001A2FAD">
              <w:rPr>
                <w:rFonts w:ascii="Times New Roman" w:hAnsi="Times New Roman" w:cs="Times New Roman"/>
              </w:rPr>
              <w:t>34,000</w:t>
            </w:r>
          </w:p>
        </w:tc>
      </w:tr>
      <w:tr w:rsidR="009B7A3A" w:rsidRPr="001A2FAD" w14:paraId="5BE8E8C3" w14:textId="77777777" w:rsidTr="0098404B">
        <w:trPr>
          <w:trHeight w:val="12"/>
          <w:jc w:val="center"/>
        </w:trPr>
        <w:tc>
          <w:tcPr>
            <w:tcW w:w="0" w:type="auto"/>
            <w:tcBorders>
              <w:top w:val="nil"/>
              <w:left w:val="nil"/>
              <w:bottom w:val="nil"/>
              <w:right w:val="nil"/>
            </w:tcBorders>
            <w:vAlign w:val="center"/>
            <w:hideMark/>
          </w:tcPr>
          <w:p w14:paraId="0EC2486B" w14:textId="77777777" w:rsidR="009B7A3A" w:rsidRPr="001A2FAD" w:rsidRDefault="009B7A3A" w:rsidP="001A2FAD">
            <w:pPr>
              <w:spacing w:line="240" w:lineRule="auto"/>
              <w:jc w:val="both"/>
              <w:rPr>
                <w:rFonts w:ascii="Times New Roman" w:hAnsi="Times New Roman" w:cs="Times New Roman"/>
              </w:rPr>
            </w:pPr>
            <w:r w:rsidRPr="001A2FAD">
              <w:rPr>
                <w:rFonts w:ascii="Times New Roman" w:hAnsi="Times New Roman" w:cs="Times New Roman"/>
              </w:rPr>
              <w:t>Fertilizer (UREA + DAP)</w:t>
            </w:r>
          </w:p>
        </w:tc>
        <w:tc>
          <w:tcPr>
            <w:tcW w:w="0" w:type="auto"/>
            <w:tcBorders>
              <w:top w:val="nil"/>
              <w:left w:val="nil"/>
              <w:bottom w:val="nil"/>
              <w:right w:val="nil"/>
            </w:tcBorders>
            <w:vAlign w:val="center"/>
            <w:hideMark/>
          </w:tcPr>
          <w:p w14:paraId="4E60FC53" w14:textId="77777777" w:rsidR="009B7A3A" w:rsidRPr="001A2FAD" w:rsidRDefault="009B7A3A" w:rsidP="00F27B21">
            <w:pPr>
              <w:spacing w:line="240" w:lineRule="auto"/>
              <w:jc w:val="center"/>
              <w:rPr>
                <w:rFonts w:ascii="Times New Roman" w:hAnsi="Times New Roman" w:cs="Times New Roman"/>
              </w:rPr>
            </w:pPr>
            <w:r w:rsidRPr="001A2FAD">
              <w:rPr>
                <w:rFonts w:ascii="Times New Roman" w:hAnsi="Times New Roman" w:cs="Times New Roman"/>
              </w:rPr>
              <w:t>60,000</w:t>
            </w:r>
          </w:p>
        </w:tc>
      </w:tr>
      <w:tr w:rsidR="009B7A3A" w:rsidRPr="001A2FAD" w14:paraId="784B26A3" w14:textId="77777777" w:rsidTr="0098404B">
        <w:trPr>
          <w:trHeight w:val="12"/>
          <w:jc w:val="center"/>
        </w:trPr>
        <w:tc>
          <w:tcPr>
            <w:tcW w:w="0" w:type="auto"/>
            <w:tcBorders>
              <w:top w:val="nil"/>
              <w:left w:val="nil"/>
              <w:bottom w:val="nil"/>
              <w:right w:val="nil"/>
            </w:tcBorders>
            <w:vAlign w:val="center"/>
            <w:hideMark/>
          </w:tcPr>
          <w:p w14:paraId="11367A4D" w14:textId="77777777" w:rsidR="009B7A3A" w:rsidRPr="001A2FAD" w:rsidRDefault="009B7A3A" w:rsidP="001A2FAD">
            <w:pPr>
              <w:spacing w:line="240" w:lineRule="auto"/>
              <w:jc w:val="both"/>
              <w:rPr>
                <w:rFonts w:ascii="Times New Roman" w:hAnsi="Times New Roman" w:cs="Times New Roman"/>
              </w:rPr>
            </w:pPr>
            <w:r w:rsidRPr="001A2FAD">
              <w:rPr>
                <w:rFonts w:ascii="Times New Roman" w:hAnsi="Times New Roman" w:cs="Times New Roman"/>
              </w:rPr>
              <w:t>Labor (Planting + Weeding)</w:t>
            </w:r>
          </w:p>
        </w:tc>
        <w:tc>
          <w:tcPr>
            <w:tcW w:w="0" w:type="auto"/>
            <w:tcBorders>
              <w:top w:val="nil"/>
              <w:left w:val="nil"/>
              <w:bottom w:val="nil"/>
              <w:right w:val="nil"/>
            </w:tcBorders>
            <w:vAlign w:val="center"/>
            <w:hideMark/>
          </w:tcPr>
          <w:p w14:paraId="71FEA04E" w14:textId="77777777" w:rsidR="009B7A3A" w:rsidRPr="001A2FAD" w:rsidRDefault="009B7A3A" w:rsidP="00F27B21">
            <w:pPr>
              <w:spacing w:line="240" w:lineRule="auto"/>
              <w:jc w:val="center"/>
              <w:rPr>
                <w:rFonts w:ascii="Times New Roman" w:hAnsi="Times New Roman" w:cs="Times New Roman"/>
              </w:rPr>
            </w:pPr>
            <w:r w:rsidRPr="001A2FAD">
              <w:rPr>
                <w:rFonts w:ascii="Times New Roman" w:hAnsi="Times New Roman" w:cs="Times New Roman"/>
              </w:rPr>
              <w:t>76,000</w:t>
            </w:r>
          </w:p>
        </w:tc>
      </w:tr>
      <w:tr w:rsidR="009B7A3A" w:rsidRPr="001A2FAD" w14:paraId="5D68E840" w14:textId="77777777" w:rsidTr="0098404B">
        <w:trPr>
          <w:trHeight w:val="12"/>
          <w:jc w:val="center"/>
        </w:trPr>
        <w:tc>
          <w:tcPr>
            <w:tcW w:w="0" w:type="auto"/>
            <w:tcBorders>
              <w:top w:val="nil"/>
              <w:left w:val="nil"/>
              <w:bottom w:val="nil"/>
              <w:right w:val="nil"/>
            </w:tcBorders>
            <w:vAlign w:val="center"/>
            <w:hideMark/>
          </w:tcPr>
          <w:p w14:paraId="76163E56" w14:textId="77777777" w:rsidR="009B7A3A" w:rsidRPr="001A2FAD" w:rsidRDefault="009B7A3A" w:rsidP="001A2FAD">
            <w:pPr>
              <w:spacing w:line="240" w:lineRule="auto"/>
              <w:jc w:val="both"/>
              <w:rPr>
                <w:rFonts w:ascii="Times New Roman" w:hAnsi="Times New Roman" w:cs="Times New Roman"/>
              </w:rPr>
            </w:pPr>
            <w:r w:rsidRPr="001A2FAD">
              <w:rPr>
                <w:rFonts w:ascii="Times New Roman" w:hAnsi="Times New Roman" w:cs="Times New Roman"/>
              </w:rPr>
              <w:t>Chemical Management</w:t>
            </w:r>
          </w:p>
        </w:tc>
        <w:tc>
          <w:tcPr>
            <w:tcW w:w="0" w:type="auto"/>
            <w:tcBorders>
              <w:top w:val="nil"/>
              <w:left w:val="nil"/>
              <w:bottom w:val="nil"/>
              <w:right w:val="nil"/>
            </w:tcBorders>
            <w:vAlign w:val="center"/>
            <w:hideMark/>
          </w:tcPr>
          <w:p w14:paraId="4E6264A6" w14:textId="77777777" w:rsidR="009B7A3A" w:rsidRPr="001A2FAD" w:rsidRDefault="009B7A3A" w:rsidP="00F27B21">
            <w:pPr>
              <w:spacing w:line="240" w:lineRule="auto"/>
              <w:jc w:val="center"/>
              <w:rPr>
                <w:rFonts w:ascii="Times New Roman" w:hAnsi="Times New Roman" w:cs="Times New Roman"/>
              </w:rPr>
            </w:pPr>
            <w:r w:rsidRPr="001A2FAD">
              <w:rPr>
                <w:rFonts w:ascii="Times New Roman" w:hAnsi="Times New Roman" w:cs="Times New Roman"/>
              </w:rPr>
              <w:t>90,000</w:t>
            </w:r>
          </w:p>
        </w:tc>
      </w:tr>
      <w:tr w:rsidR="009B7A3A" w:rsidRPr="001A2FAD" w14:paraId="6C8C2D66" w14:textId="77777777" w:rsidTr="0098404B">
        <w:trPr>
          <w:trHeight w:val="12"/>
          <w:jc w:val="center"/>
        </w:trPr>
        <w:tc>
          <w:tcPr>
            <w:tcW w:w="0" w:type="auto"/>
            <w:tcBorders>
              <w:top w:val="nil"/>
              <w:left w:val="nil"/>
              <w:bottom w:val="nil"/>
              <w:right w:val="nil"/>
            </w:tcBorders>
            <w:vAlign w:val="center"/>
            <w:hideMark/>
          </w:tcPr>
          <w:p w14:paraId="1CA2B7BE" w14:textId="77777777" w:rsidR="009B7A3A" w:rsidRPr="001A2FAD" w:rsidRDefault="009B7A3A" w:rsidP="001A2FAD">
            <w:pPr>
              <w:spacing w:line="240" w:lineRule="auto"/>
              <w:jc w:val="both"/>
              <w:rPr>
                <w:rFonts w:ascii="Times New Roman" w:hAnsi="Times New Roman" w:cs="Times New Roman"/>
              </w:rPr>
            </w:pPr>
            <w:r w:rsidRPr="001A2FAD">
              <w:rPr>
                <w:rFonts w:ascii="Times New Roman" w:hAnsi="Times New Roman" w:cs="Times New Roman"/>
              </w:rPr>
              <w:t>Post-Harvest + Storage</w:t>
            </w:r>
          </w:p>
        </w:tc>
        <w:tc>
          <w:tcPr>
            <w:tcW w:w="0" w:type="auto"/>
            <w:tcBorders>
              <w:top w:val="nil"/>
              <w:left w:val="nil"/>
              <w:bottom w:val="nil"/>
              <w:right w:val="nil"/>
            </w:tcBorders>
            <w:vAlign w:val="center"/>
            <w:hideMark/>
          </w:tcPr>
          <w:p w14:paraId="296FBB5B" w14:textId="77777777" w:rsidR="009B7A3A" w:rsidRPr="001A2FAD" w:rsidRDefault="009B7A3A" w:rsidP="00F27B21">
            <w:pPr>
              <w:spacing w:line="240" w:lineRule="auto"/>
              <w:jc w:val="center"/>
              <w:rPr>
                <w:rFonts w:ascii="Times New Roman" w:hAnsi="Times New Roman" w:cs="Times New Roman"/>
              </w:rPr>
            </w:pPr>
            <w:r w:rsidRPr="001A2FAD">
              <w:rPr>
                <w:rFonts w:ascii="Times New Roman" w:hAnsi="Times New Roman" w:cs="Times New Roman"/>
              </w:rPr>
              <w:t>50,000</w:t>
            </w:r>
          </w:p>
        </w:tc>
      </w:tr>
      <w:tr w:rsidR="009B7A3A" w:rsidRPr="001A2FAD" w14:paraId="4C13B691" w14:textId="77777777" w:rsidTr="0098404B">
        <w:trPr>
          <w:trHeight w:val="12"/>
          <w:jc w:val="center"/>
        </w:trPr>
        <w:tc>
          <w:tcPr>
            <w:tcW w:w="0" w:type="auto"/>
            <w:tcBorders>
              <w:top w:val="nil"/>
              <w:left w:val="nil"/>
              <w:bottom w:val="nil"/>
              <w:right w:val="nil"/>
            </w:tcBorders>
            <w:vAlign w:val="center"/>
            <w:hideMark/>
          </w:tcPr>
          <w:p w14:paraId="58B686D5" w14:textId="77777777" w:rsidR="009B7A3A" w:rsidRPr="001A2FAD" w:rsidRDefault="009B7A3A" w:rsidP="001A2FAD">
            <w:pPr>
              <w:spacing w:line="240" w:lineRule="auto"/>
              <w:jc w:val="both"/>
              <w:rPr>
                <w:rFonts w:ascii="Times New Roman" w:hAnsi="Times New Roman" w:cs="Times New Roman"/>
              </w:rPr>
            </w:pPr>
            <w:r w:rsidRPr="001A2FAD">
              <w:rPr>
                <w:rFonts w:ascii="Times New Roman" w:hAnsi="Times New Roman" w:cs="Times New Roman"/>
              </w:rPr>
              <w:t>Marketing (Broker)</w:t>
            </w:r>
          </w:p>
        </w:tc>
        <w:tc>
          <w:tcPr>
            <w:tcW w:w="0" w:type="auto"/>
            <w:tcBorders>
              <w:top w:val="nil"/>
              <w:left w:val="nil"/>
              <w:bottom w:val="nil"/>
              <w:right w:val="nil"/>
            </w:tcBorders>
            <w:vAlign w:val="center"/>
            <w:hideMark/>
          </w:tcPr>
          <w:p w14:paraId="6D5F7F0E" w14:textId="77777777" w:rsidR="009B7A3A" w:rsidRPr="001A2FAD" w:rsidRDefault="009B7A3A" w:rsidP="00F27B21">
            <w:pPr>
              <w:spacing w:line="240" w:lineRule="auto"/>
              <w:jc w:val="center"/>
              <w:rPr>
                <w:rFonts w:ascii="Times New Roman" w:hAnsi="Times New Roman" w:cs="Times New Roman"/>
              </w:rPr>
            </w:pPr>
            <w:r w:rsidRPr="001A2FAD">
              <w:rPr>
                <w:rFonts w:ascii="Times New Roman" w:hAnsi="Times New Roman" w:cs="Times New Roman"/>
              </w:rPr>
              <w:t>250,000</w:t>
            </w:r>
          </w:p>
        </w:tc>
      </w:tr>
      <w:tr w:rsidR="009B7A3A" w:rsidRPr="001A2FAD" w14:paraId="5AA9611E" w14:textId="77777777" w:rsidTr="0098404B">
        <w:trPr>
          <w:trHeight w:val="53"/>
          <w:jc w:val="center"/>
        </w:trPr>
        <w:tc>
          <w:tcPr>
            <w:tcW w:w="0" w:type="auto"/>
            <w:tcBorders>
              <w:top w:val="nil"/>
              <w:left w:val="nil"/>
              <w:bottom w:val="single" w:sz="8" w:space="0" w:color="8064A2" w:themeColor="accent4"/>
              <w:right w:val="nil"/>
            </w:tcBorders>
            <w:vAlign w:val="center"/>
            <w:hideMark/>
          </w:tcPr>
          <w:p w14:paraId="2B4FBBBC" w14:textId="77777777" w:rsidR="009B7A3A" w:rsidRPr="001A2FAD" w:rsidRDefault="009B7A3A" w:rsidP="001A2FAD">
            <w:pPr>
              <w:spacing w:line="240" w:lineRule="auto"/>
              <w:jc w:val="both"/>
              <w:rPr>
                <w:rFonts w:ascii="Times New Roman" w:hAnsi="Times New Roman" w:cs="Times New Roman"/>
              </w:rPr>
            </w:pPr>
            <w:r w:rsidRPr="001A2FAD">
              <w:rPr>
                <w:rFonts w:ascii="Times New Roman" w:hAnsi="Times New Roman" w:cs="Times New Roman"/>
                <w:b/>
                <w:bCs/>
              </w:rPr>
              <w:t>Total Production Cost</w:t>
            </w:r>
          </w:p>
        </w:tc>
        <w:tc>
          <w:tcPr>
            <w:tcW w:w="0" w:type="auto"/>
            <w:tcBorders>
              <w:top w:val="nil"/>
              <w:left w:val="nil"/>
              <w:bottom w:val="single" w:sz="8" w:space="0" w:color="8064A2" w:themeColor="accent4"/>
              <w:right w:val="nil"/>
            </w:tcBorders>
            <w:vAlign w:val="center"/>
            <w:hideMark/>
          </w:tcPr>
          <w:p w14:paraId="2CE1D3B8" w14:textId="77777777" w:rsidR="009B7A3A" w:rsidRPr="001A2FAD" w:rsidRDefault="009B7A3A" w:rsidP="00F27B21">
            <w:pPr>
              <w:spacing w:line="240" w:lineRule="auto"/>
              <w:jc w:val="center"/>
              <w:rPr>
                <w:rFonts w:ascii="Times New Roman" w:hAnsi="Times New Roman" w:cs="Times New Roman"/>
              </w:rPr>
            </w:pPr>
            <w:r w:rsidRPr="001A2FAD">
              <w:rPr>
                <w:rFonts w:ascii="Times New Roman" w:hAnsi="Times New Roman" w:cs="Times New Roman"/>
                <w:b/>
                <w:bCs/>
              </w:rPr>
              <w:t>646,880</w:t>
            </w:r>
          </w:p>
        </w:tc>
      </w:tr>
    </w:tbl>
    <w:p w14:paraId="160EE214" w14:textId="50141621" w:rsidR="000B66C7" w:rsidRPr="001A2FAD" w:rsidRDefault="000B66C7" w:rsidP="00A41E55">
      <w:pPr>
        <w:spacing w:line="360" w:lineRule="auto"/>
        <w:jc w:val="both"/>
        <w:rPr>
          <w:rFonts w:ascii="Times New Roman" w:hAnsi="Times New Roman" w:cs="Times New Roman"/>
        </w:rPr>
      </w:pPr>
      <w:bookmarkStart w:id="9" w:name="_Hlk185012351"/>
    </w:p>
    <w:p w14:paraId="3A6A2A3F" w14:textId="77777777" w:rsidR="000B66C7" w:rsidRPr="001A2FAD" w:rsidRDefault="000B66C7" w:rsidP="001A2FAD">
      <w:pPr>
        <w:keepNext/>
        <w:jc w:val="both"/>
        <w:rPr>
          <w:rFonts w:ascii="Times New Roman" w:hAnsi="Times New Roman" w:cs="Times New Roman"/>
        </w:rPr>
      </w:pPr>
      <w:r w:rsidRPr="001A2FAD">
        <w:rPr>
          <w:rFonts w:ascii="Times New Roman" w:hAnsi="Times New Roman" w:cs="Times New Roman"/>
          <w:noProof/>
          <w:lang w:eastAsia="en-US"/>
        </w:rPr>
        <w:drawing>
          <wp:inline distT="0" distB="0" distL="0" distR="0" wp14:anchorId="5509D798" wp14:editId="7713FF03">
            <wp:extent cx="5943600" cy="3141654"/>
            <wp:effectExtent l="0" t="0" r="0" b="1905"/>
            <wp:docPr id="1" name="Chart 1">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1="http://schemas.microsoft.com/office/drawing/2015/9/8/chartex" xmlns:cx="http://schemas.microsoft.com/office/drawing/2014/chartex" xmlns="" id="{1F8BE511-74EE-42D5-9448-3186618D82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DA1CFD3" w14:textId="014EF128" w:rsidR="000B66C7" w:rsidRPr="001A2FAD" w:rsidRDefault="000B66C7" w:rsidP="00F27B21">
      <w:pPr>
        <w:spacing w:line="360" w:lineRule="auto"/>
        <w:jc w:val="both"/>
        <w:rPr>
          <w:rFonts w:ascii="Times New Roman" w:hAnsi="Times New Roman" w:cs="Times New Roman"/>
        </w:rPr>
      </w:pPr>
      <w:r w:rsidRPr="001A2FAD">
        <w:rPr>
          <w:rFonts w:ascii="Times New Roman" w:hAnsi="Times New Roman" w:cs="Times New Roman"/>
        </w:rPr>
        <w:t xml:space="preserve">Figure </w:t>
      </w:r>
      <w:r w:rsidRPr="001A2FAD">
        <w:rPr>
          <w:rFonts w:ascii="Times New Roman" w:hAnsi="Times New Roman" w:cs="Times New Roman"/>
        </w:rPr>
        <w:fldChar w:fldCharType="begin"/>
      </w:r>
      <w:r w:rsidRPr="001A2FAD">
        <w:rPr>
          <w:rFonts w:ascii="Times New Roman" w:hAnsi="Times New Roman" w:cs="Times New Roman"/>
        </w:rPr>
        <w:instrText xml:space="preserve"> SEQ Figure \* ARABIC </w:instrText>
      </w:r>
      <w:r w:rsidRPr="001A2FAD">
        <w:rPr>
          <w:rFonts w:ascii="Times New Roman" w:hAnsi="Times New Roman" w:cs="Times New Roman"/>
        </w:rPr>
        <w:fldChar w:fldCharType="separate"/>
      </w:r>
      <w:r w:rsidRPr="001A2FAD">
        <w:rPr>
          <w:rFonts w:ascii="Times New Roman" w:hAnsi="Times New Roman" w:cs="Times New Roman"/>
        </w:rPr>
        <w:t>3</w:t>
      </w:r>
      <w:r w:rsidRPr="001A2FAD">
        <w:rPr>
          <w:rFonts w:ascii="Times New Roman" w:hAnsi="Times New Roman" w:cs="Times New Roman"/>
        </w:rPr>
        <w:fldChar w:fldCharType="end"/>
      </w:r>
      <w:r w:rsidRPr="001A2FAD">
        <w:rPr>
          <w:rFonts w:ascii="Times New Roman" w:hAnsi="Times New Roman" w:cs="Times New Roman"/>
        </w:rPr>
        <w:t xml:space="preserve"> Percentage Contribution of Major Production and Marketing Cost Components to Total Production Cost</w:t>
      </w:r>
      <w:bookmarkEnd w:id="3"/>
    </w:p>
    <w:p w14:paraId="67B171DC" w14:textId="466750C5" w:rsidR="00BC43F3" w:rsidRPr="001A2FAD" w:rsidRDefault="00BC43F3" w:rsidP="0030271E">
      <w:pPr>
        <w:pStyle w:val="Heading2"/>
        <w:numPr>
          <w:ilvl w:val="1"/>
          <w:numId w:val="1"/>
        </w:numPr>
        <w:jc w:val="both"/>
      </w:pPr>
      <w:r w:rsidRPr="001A2FAD">
        <w:t xml:space="preserve"> </w:t>
      </w:r>
      <w:r w:rsidR="00AA471D" w:rsidRPr="003934FE">
        <w:rPr>
          <w:rFonts w:cs="Times New Roman"/>
          <w:szCs w:val="24"/>
        </w:rPr>
        <w:t>Economic Performance of Onion Production under Irrigated Conditions</w:t>
      </w:r>
    </w:p>
    <w:p w14:paraId="201A2E93" w14:textId="05153CDA" w:rsidR="00C5391D" w:rsidRPr="001A2FAD" w:rsidRDefault="00C5391D" w:rsidP="001A2FAD">
      <w:pPr>
        <w:spacing w:line="360" w:lineRule="auto"/>
        <w:jc w:val="both"/>
        <w:rPr>
          <w:rFonts w:ascii="Times New Roman" w:hAnsi="Times New Roman" w:cs="Times New Roman"/>
        </w:rPr>
      </w:pPr>
      <w:bookmarkStart w:id="10" w:name="_Hlk185012404"/>
      <w:bookmarkEnd w:id="9"/>
      <w:r w:rsidRPr="001A2FAD">
        <w:rPr>
          <w:rFonts w:ascii="Times New Roman" w:hAnsi="Times New Roman" w:cs="Times New Roman"/>
        </w:rPr>
        <w:t xml:space="preserve">The analysis of returns and profitability, as presented in Table 2, provides valuable insights into the financial viability of onion production under irrigated conditions in the </w:t>
      </w:r>
      <w:r w:rsidR="00DF2213" w:rsidRPr="001A2FAD">
        <w:rPr>
          <w:rFonts w:ascii="Times New Roman" w:hAnsi="Times New Roman" w:cs="Times New Roman"/>
        </w:rPr>
        <w:t>Gebiresu Zone</w:t>
      </w:r>
      <w:r w:rsidR="00855169">
        <w:rPr>
          <w:rFonts w:ascii="Times New Roman" w:hAnsi="Times New Roman" w:cs="Times New Roman"/>
        </w:rPr>
        <w:t>.</w:t>
      </w:r>
      <w:r w:rsidRPr="001A2FAD">
        <w:rPr>
          <w:rFonts w:ascii="Times New Roman" w:hAnsi="Times New Roman" w:cs="Times New Roman"/>
        </w:rPr>
        <w:t xml:space="preserve"> Key </w:t>
      </w:r>
      <w:r w:rsidRPr="001A2FAD">
        <w:rPr>
          <w:rFonts w:ascii="Times New Roman" w:hAnsi="Times New Roman" w:cs="Times New Roman"/>
        </w:rPr>
        <w:lastRenderedPageBreak/>
        <w:t>indicators such as gross returns, net returns, input–output ratio, break-even yield, and return on investment (ROI) highlight the economic performance of onion farming and demonstrate its potential as a profitable agricultural enterprise.</w:t>
      </w:r>
    </w:p>
    <w:p w14:paraId="27797407" w14:textId="05098325" w:rsidR="00C5391D" w:rsidRPr="001A2FAD" w:rsidRDefault="00C5391D" w:rsidP="0030271E">
      <w:pPr>
        <w:pStyle w:val="Heading3"/>
        <w:numPr>
          <w:ilvl w:val="2"/>
          <w:numId w:val="11"/>
        </w:numPr>
        <w:jc w:val="both"/>
        <w:rPr>
          <w:rFonts w:cs="Times New Roman"/>
          <w:szCs w:val="24"/>
        </w:rPr>
      </w:pPr>
      <w:r w:rsidRPr="001A2FAD">
        <w:rPr>
          <w:rFonts w:cs="Times New Roman"/>
          <w:szCs w:val="24"/>
        </w:rPr>
        <w:t>Gross Returns</w:t>
      </w:r>
    </w:p>
    <w:p w14:paraId="1BB46097" w14:textId="0E11ED64" w:rsidR="00C5391D" w:rsidRPr="001A2FAD" w:rsidRDefault="00034807" w:rsidP="001A2FAD">
      <w:pPr>
        <w:spacing w:line="360" w:lineRule="auto"/>
        <w:jc w:val="both"/>
        <w:rPr>
          <w:rFonts w:ascii="Times New Roman" w:hAnsi="Times New Roman" w:cs="Times New Roman"/>
        </w:rPr>
      </w:pPr>
      <w:bookmarkStart w:id="11" w:name="_Hlk185012435"/>
      <w:bookmarkEnd w:id="10"/>
      <w:r w:rsidRPr="00034807">
        <w:rPr>
          <w:rFonts w:ascii="Times New Roman" w:hAnsi="Times New Roman" w:cs="Times New Roman"/>
        </w:rPr>
        <w:t xml:space="preserve">Gross return represents the total revenue generated from onion sales before deducting production and marketing costs. The study revealed that onion producers obtained a </w:t>
      </w:r>
      <w:r w:rsidRPr="00855169">
        <w:rPr>
          <w:rStyle w:val="Strong"/>
          <w:rFonts w:ascii="Times New Roman" w:eastAsiaTheme="majorEastAsia" w:hAnsi="Times New Roman" w:cs="Times New Roman"/>
          <w:b w:val="0"/>
        </w:rPr>
        <w:t>gross return of ETB 1,120,000 ha⁻¹</w:t>
      </w:r>
      <w:r w:rsidRPr="00034807">
        <w:rPr>
          <w:rFonts w:ascii="Times New Roman" w:hAnsi="Times New Roman" w:cs="Times New Roman"/>
        </w:rPr>
        <w:t xml:space="preserve">, derived from an average yield </w:t>
      </w:r>
      <w:r w:rsidRPr="00855169">
        <w:rPr>
          <w:rFonts w:ascii="Times New Roman" w:hAnsi="Times New Roman" w:cs="Times New Roman"/>
        </w:rPr>
        <w:t xml:space="preserve">of </w:t>
      </w:r>
      <w:r w:rsidRPr="00855169">
        <w:rPr>
          <w:rStyle w:val="Strong"/>
          <w:rFonts w:ascii="Times New Roman" w:eastAsiaTheme="majorEastAsia" w:hAnsi="Times New Roman" w:cs="Times New Roman"/>
          <w:b w:val="0"/>
        </w:rPr>
        <w:t>28 t ha⁻¹</w:t>
      </w:r>
      <w:r w:rsidRPr="00855169">
        <w:rPr>
          <w:rFonts w:ascii="Times New Roman" w:hAnsi="Times New Roman" w:cs="Times New Roman"/>
        </w:rPr>
        <w:t xml:space="preserve"> and a farm-gate selling price of </w:t>
      </w:r>
      <w:r w:rsidRPr="00855169">
        <w:rPr>
          <w:rStyle w:val="Strong"/>
          <w:rFonts w:ascii="Times New Roman" w:eastAsiaTheme="majorEastAsia" w:hAnsi="Times New Roman" w:cs="Times New Roman"/>
          <w:b w:val="0"/>
        </w:rPr>
        <w:t>ETB 40 kg⁻¹</w:t>
      </w:r>
      <w:r w:rsidRPr="00855169">
        <w:rPr>
          <w:rFonts w:ascii="Times New Roman" w:hAnsi="Times New Roman" w:cs="Times New Roman"/>
          <w:b/>
        </w:rPr>
        <w:t>.</w:t>
      </w:r>
      <w:r w:rsidRPr="00034807">
        <w:rPr>
          <w:rFonts w:ascii="Times New Roman" w:hAnsi="Times New Roman" w:cs="Times New Roman"/>
        </w:rPr>
        <w:t xml:space="preserve"> This high gross return indicates the strong income-generating potential of irrigated onion production and reflects favorable market demand coupled with satisfactory productivity levels. The result suggests that onion cultivation can serve as an important source of cash income for farming households. </w:t>
      </w:r>
      <w:r w:rsidR="00C5391D" w:rsidRPr="001A2FAD">
        <w:rPr>
          <w:rFonts w:ascii="Times New Roman" w:hAnsi="Times New Roman" w:cs="Times New Roman"/>
        </w:rPr>
        <w:t xml:space="preserve">To sustain and potentially increase gross returns, </w:t>
      </w:r>
      <w:r w:rsidR="00F27B21">
        <w:rPr>
          <w:rFonts w:ascii="Times New Roman" w:hAnsi="Times New Roman" w:cs="Times New Roman"/>
        </w:rPr>
        <w:t>producers</w:t>
      </w:r>
      <w:r w:rsidR="00C5391D" w:rsidRPr="001A2FAD">
        <w:rPr>
          <w:rFonts w:ascii="Times New Roman" w:hAnsi="Times New Roman" w:cs="Times New Roman"/>
        </w:rPr>
        <w:t xml:space="preserve"> should prioritize maintaining high-quality standards to command premium prices in the market. This includes adhering to best practices in harvesting, grading, and packaging </w:t>
      </w:r>
      <w:r w:rsidR="00C5391D"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&lt;EndNote&gt;&lt;Cite&gt;&lt;Author&gt;Kitinoja&lt;/Author&gt;&lt;Year&gt;2002&lt;/Year&gt;&lt;RecNum&gt;61&lt;/RecNum&gt;&lt;DisplayText&gt;(Kitinoja &amp;amp; Kader, 2002)&lt;/DisplayText&gt;&lt;record&gt;&lt;rec-number&gt;61&lt;/rec-number&gt;&lt;foreign-keys&gt;&lt;key app="EN" db-id="x2savr2skzpztmesfatpfzd7x5rp5ze0d2df" timestamp="1739449893"&gt;61&lt;/key&gt;&lt;/foreign-keys&gt;&lt;ref-type name="Book"&gt;6&lt;/ref-type&gt;&lt;contributors&gt;&lt;authors&gt;&lt;author&gt;Kitinoja, Lisa&lt;/author&gt;&lt;author&gt;Kader, Adel A&lt;/author&gt;&lt;/authors&gt;&lt;/contributors&gt;&lt;titles&gt;&lt;title&gt;Small-scale postharvest handling practices: a manual for horticultural crops&lt;/title&gt;&lt;/titles&gt;&lt;dates&gt;&lt;year&gt;2002&lt;/year&gt;&lt;/dates&gt;&lt;publisher&gt;University of California, Davis, Postharvest Technology Research and …&lt;/publisher&gt;&lt;urls&gt;&lt;/urls&gt;&lt;/record&gt;&lt;/Cite&gt;&lt;/EndNote&gt;</w:instrText>
      </w:r>
      <w:r w:rsidR="00C5391D" w:rsidRPr="001A2FAD">
        <w:rPr>
          <w:rFonts w:ascii="Times New Roman" w:hAnsi="Times New Roman" w:cs="Times New Roman"/>
        </w:rPr>
        <w:fldChar w:fldCharType="separate"/>
      </w:r>
      <w:r w:rsidR="00064C6E">
        <w:rPr>
          <w:rFonts w:ascii="Times New Roman" w:hAnsi="Times New Roman" w:cs="Times New Roman"/>
          <w:noProof/>
        </w:rPr>
        <w:t>(Kitinoja &amp; Kader, 2002)</w:t>
      </w:r>
      <w:r w:rsidR="00C5391D" w:rsidRPr="001A2FAD">
        <w:rPr>
          <w:rFonts w:ascii="Times New Roman" w:hAnsi="Times New Roman" w:cs="Times New Roman"/>
        </w:rPr>
        <w:fldChar w:fldCharType="end"/>
      </w:r>
      <w:r w:rsidR="00C5391D" w:rsidRPr="001A2FAD">
        <w:rPr>
          <w:rFonts w:ascii="Times New Roman" w:hAnsi="Times New Roman" w:cs="Times New Roman"/>
        </w:rPr>
        <w:t xml:space="preserve">. Additionally, strengthening market linkages and diversifying sales channels, such as entering export markets or participating in cooperative marketing initiatives, can enhance revenue streams and reduce market dependency </w:t>
      </w:r>
      <w:r w:rsidR="00C5391D"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&lt;EndNote&gt;&lt;Cite&gt;&lt;Author&gt;Ferris&lt;/Author&gt;&lt;Year&gt;2014&lt;/Year&gt;&lt;RecNum&gt;62&lt;/RecNum&gt;&lt;DisplayText&gt;(Ferris et al., 2014)&lt;/DisplayText&gt;&lt;record&gt;&lt;rec-number&gt;62&lt;/rec-number&gt;&lt;foreign-keys&gt;&lt;key app="EN" db-id="x2savr2skzpztmesfatpfzd7x5rp5ze0d2df" timestamp="1739450007"&gt;62&lt;/key&gt;&lt;/foreign-keys&gt;&lt;ref-type name="Journal Article"&gt;17&lt;/ref-type&gt;&lt;contributors&gt;&lt;authors&gt;&lt;author&gt;Ferris, Shaun&lt;/author&gt;&lt;author&gt;Robbins, Peter&lt;/author&gt;&lt;author&gt;Best, Rupert&lt;/author&gt;&lt;author&gt;Seville, Don&lt;/author&gt;&lt;author&gt;Buxton, Abbi&lt;/author&gt;&lt;author&gt;Shriver, Jefferson&lt;/author&gt;&lt;author&gt;Wei, Emily %J MEAS Brief&lt;/author&gt;&lt;/authors&gt;&lt;/contributors&gt;&lt;titles&gt;&lt;title&gt;Linking smallholder farmers to markets and the implications for extension and advisory services&lt;/title&gt;&lt;/titles&gt;&lt;pages&gt;13-14&lt;/pages&gt;&lt;volume&gt;4&lt;/volume&gt;&lt;number&gt;10&lt;/number&gt;&lt;dates&gt;&lt;year&gt;2014&lt;/year&gt;&lt;/dates&gt;&lt;urls&gt;&lt;/urls&gt;&lt;/record&gt;&lt;/Cite&gt;&lt;/EndNote&gt;</w:instrText>
      </w:r>
      <w:r w:rsidR="00C5391D" w:rsidRPr="001A2FAD">
        <w:rPr>
          <w:rFonts w:ascii="Times New Roman" w:hAnsi="Times New Roman" w:cs="Times New Roman"/>
        </w:rPr>
        <w:fldChar w:fldCharType="separate"/>
      </w:r>
      <w:r w:rsidR="00064C6E">
        <w:rPr>
          <w:rFonts w:ascii="Times New Roman" w:hAnsi="Times New Roman" w:cs="Times New Roman"/>
          <w:noProof/>
        </w:rPr>
        <w:t>(Ferris et al., 2014)</w:t>
      </w:r>
      <w:r w:rsidR="00C5391D" w:rsidRPr="001A2FAD">
        <w:rPr>
          <w:rFonts w:ascii="Times New Roman" w:hAnsi="Times New Roman" w:cs="Times New Roman"/>
        </w:rPr>
        <w:fldChar w:fldCharType="end"/>
      </w:r>
      <w:r w:rsidR="00C5391D" w:rsidRPr="001A2FAD">
        <w:rPr>
          <w:rFonts w:ascii="Times New Roman" w:hAnsi="Times New Roman" w:cs="Times New Roman"/>
        </w:rPr>
        <w:t xml:space="preserve">. </w:t>
      </w:r>
    </w:p>
    <w:p w14:paraId="71EA32C1" w14:textId="77777777" w:rsidR="00C5391D" w:rsidRPr="001A2FAD" w:rsidRDefault="00C5391D" w:rsidP="0030271E">
      <w:pPr>
        <w:pStyle w:val="Heading3"/>
        <w:numPr>
          <w:ilvl w:val="2"/>
          <w:numId w:val="1"/>
        </w:numPr>
        <w:jc w:val="both"/>
        <w:rPr>
          <w:rFonts w:cs="Times New Roman"/>
          <w:szCs w:val="24"/>
        </w:rPr>
      </w:pPr>
      <w:r w:rsidRPr="001A2FAD">
        <w:rPr>
          <w:rFonts w:cs="Times New Roman"/>
          <w:szCs w:val="24"/>
        </w:rPr>
        <w:t>Net Returns</w:t>
      </w:r>
    </w:p>
    <w:p w14:paraId="57FEB4FB" w14:textId="2B3CE71E" w:rsidR="00C5391D" w:rsidRPr="001A2FAD" w:rsidRDefault="00034807" w:rsidP="001A2FAD">
      <w:pPr>
        <w:spacing w:line="360" w:lineRule="auto"/>
        <w:jc w:val="both"/>
        <w:rPr>
          <w:rFonts w:ascii="Times New Roman" w:hAnsi="Times New Roman" w:cs="Times New Roman"/>
        </w:rPr>
      </w:pPr>
      <w:bookmarkStart w:id="12" w:name="_Hlk185012466"/>
      <w:bookmarkEnd w:id="11"/>
      <w:r w:rsidRPr="00034807">
        <w:rPr>
          <w:rFonts w:ascii="Times New Roman" w:hAnsi="Times New Roman" w:cs="Times New Roman"/>
        </w:rPr>
        <w:t xml:space="preserve">Net return measures the profit remaining after deducting all production and marketing costs from gross revenue. The analysis showed that onion producers earned a </w:t>
      </w:r>
      <w:r w:rsidRPr="00855169">
        <w:rPr>
          <w:rStyle w:val="Strong"/>
          <w:rFonts w:ascii="Times New Roman" w:hAnsi="Times New Roman" w:cs="Times New Roman"/>
          <w:b w:val="0"/>
        </w:rPr>
        <w:t>net return of ETB 473,120 ha⁻¹</w:t>
      </w:r>
      <w:r w:rsidRPr="00034807">
        <w:rPr>
          <w:rFonts w:ascii="Times New Roman" w:hAnsi="Times New Roman" w:cs="Times New Roman"/>
        </w:rPr>
        <w:t>, indicating that nearly half a million birrs was generated as profit per hectare. The positive and substantial net return demonstrates that onion production is financially rewarding and capable of significantly improving household income. The magnitude of the net return also suggests that the enterprise can withstand moderate fluctuations in market prices or production costs while remaining profitable.</w:t>
      </w:r>
      <w:r>
        <w:rPr>
          <w:rFonts w:ascii="Times New Roman" w:hAnsi="Times New Roman" w:cs="Times New Roman"/>
        </w:rPr>
        <w:t xml:space="preserve"> </w:t>
      </w:r>
      <w:r w:rsidR="00C5391D" w:rsidRPr="001A2FAD">
        <w:rPr>
          <w:rFonts w:ascii="Times New Roman" w:hAnsi="Times New Roman" w:cs="Times New Roman"/>
        </w:rPr>
        <w:t xml:space="preserve">The significant net returns reflect the economic viability of onion production, driven by efficient production practices, favorable market prices, and the cultivation of high-value crops under irrigated conditions. However, future profitability could be threatened by rising input costs, market volatility, and inefficiencies in the value chain. For instance, factors such as increasing costs for fertilizers, pesticides, and labor, as well as fluctuating market prices due to seasonality and demand dynamics, may reduce margins </w:t>
      </w:r>
      <w:r w:rsidR="00C5391D"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&lt;EndNote&gt;&lt;Cite&gt;&lt;Author&gt;Bowman&lt;/Author&gt;&lt;Year&gt;2013&lt;/Year&gt;&lt;RecNum&gt;64&lt;/RecNum&gt;&lt;DisplayText&gt;(Bowman, Zilberman, &amp;amp; society, 2013)&lt;/DisplayText&gt;&lt;record&gt;&lt;rec-number&gt;64&lt;/rec-number&gt;&lt;foreign-keys&gt;&lt;key app="EN" db-id="x2savr2skzpztmesfatpfzd7x5rp5ze0d2df" timestamp="1739450332"&gt;64&lt;/key&gt;&lt;/foreign-keys&gt;&lt;ref-type name="Journal Article"&gt;17&lt;/ref-type&gt;&lt;contributors&gt;&lt;authors&gt;&lt;author&gt;Bowman, Maria S&lt;/author&gt;&lt;author&gt;Zilberman, David %J Ecology&lt;/author&gt;&lt;author&gt;society&lt;/author&gt;&lt;/authors&gt;&lt;/contributors&gt;&lt;titles&gt;&lt;title&gt;Economic factors affecting diversified farming systems&lt;/title&gt;&lt;/titles&gt;&lt;volume&gt;18&lt;/volume&gt;&lt;number&gt;1&lt;/number&gt;&lt;dates&gt;&lt;year&gt;2013&lt;/year&gt;&lt;/dates&gt;&lt;isbn&gt;1708-3087&lt;/isbn&gt;&lt;urls&gt;&lt;/urls&gt;&lt;electronic-resource-num&gt;http://dx.doi.org/10.5751/ES-05574-180133&lt;/electronic-resource-num&gt;&lt;/record&gt;&lt;/Cite&gt;&lt;/EndNote&gt;</w:instrText>
      </w:r>
      <w:r w:rsidR="00C5391D" w:rsidRPr="001A2FAD">
        <w:rPr>
          <w:rFonts w:ascii="Times New Roman" w:hAnsi="Times New Roman" w:cs="Times New Roman"/>
        </w:rPr>
        <w:fldChar w:fldCharType="separate"/>
      </w:r>
      <w:r w:rsidR="00064C6E">
        <w:rPr>
          <w:rFonts w:ascii="Times New Roman" w:hAnsi="Times New Roman" w:cs="Times New Roman"/>
          <w:noProof/>
        </w:rPr>
        <w:t>(Bowman, Zilberman, &amp; society, 2013)</w:t>
      </w:r>
      <w:r w:rsidR="00C5391D" w:rsidRPr="001A2FAD">
        <w:rPr>
          <w:rFonts w:ascii="Times New Roman" w:hAnsi="Times New Roman" w:cs="Times New Roman"/>
        </w:rPr>
        <w:fldChar w:fldCharType="end"/>
      </w:r>
      <w:r w:rsidR="00C5391D" w:rsidRPr="001A2FAD">
        <w:rPr>
          <w:rFonts w:ascii="Times New Roman" w:hAnsi="Times New Roman" w:cs="Times New Roman"/>
        </w:rPr>
        <w:t>.</w:t>
      </w:r>
    </w:p>
    <w:p w14:paraId="61684975" w14:textId="77777777" w:rsidR="00BC43F3" w:rsidRPr="001A2FAD" w:rsidRDefault="00BC43F3" w:rsidP="0030271E">
      <w:pPr>
        <w:pStyle w:val="Heading3"/>
        <w:numPr>
          <w:ilvl w:val="2"/>
          <w:numId w:val="1"/>
        </w:numPr>
        <w:jc w:val="both"/>
        <w:rPr>
          <w:rFonts w:cs="Times New Roman"/>
          <w:szCs w:val="24"/>
        </w:rPr>
      </w:pPr>
      <w:r w:rsidRPr="001A2FAD">
        <w:rPr>
          <w:rFonts w:cs="Times New Roman"/>
          <w:szCs w:val="24"/>
        </w:rPr>
        <w:lastRenderedPageBreak/>
        <w:t>Benefit-Cost Ratio (BCR)</w:t>
      </w:r>
    </w:p>
    <w:p w14:paraId="67816C1F" w14:textId="45584085" w:rsidR="00BC43F3" w:rsidRDefault="00466EF8" w:rsidP="001A2FAD">
      <w:pPr>
        <w:spacing w:line="360" w:lineRule="auto"/>
        <w:jc w:val="both"/>
        <w:rPr>
          <w:rFonts w:ascii="Times New Roman" w:hAnsi="Times New Roman" w:cs="Times New Roman"/>
        </w:rPr>
      </w:pPr>
      <w:r w:rsidRPr="00466EF8">
        <w:rPr>
          <w:rFonts w:ascii="Times New Roman" w:hAnsi="Times New Roman" w:cs="Times New Roman"/>
        </w:rPr>
        <w:t xml:space="preserve">The </w:t>
      </w:r>
      <w:r w:rsidRPr="00855169">
        <w:rPr>
          <w:rStyle w:val="Strong"/>
          <w:rFonts w:ascii="Times New Roman" w:eastAsiaTheme="majorEastAsia" w:hAnsi="Times New Roman" w:cs="Times New Roman"/>
          <w:b w:val="0"/>
        </w:rPr>
        <w:t>Benefit-Cost Ratio (BCR)</w:t>
      </w:r>
      <w:r w:rsidRPr="00466EF8">
        <w:rPr>
          <w:rFonts w:ascii="Times New Roman" w:hAnsi="Times New Roman" w:cs="Times New Roman"/>
        </w:rPr>
        <w:t xml:space="preserve"> was estimated at </w:t>
      </w:r>
      <w:r w:rsidRPr="00855169">
        <w:rPr>
          <w:rStyle w:val="Strong"/>
          <w:rFonts w:ascii="Times New Roman" w:eastAsiaTheme="majorEastAsia" w:hAnsi="Times New Roman" w:cs="Times New Roman"/>
          <w:b w:val="0"/>
        </w:rPr>
        <w:t>1.73</w:t>
      </w:r>
      <w:r w:rsidRPr="00466EF8">
        <w:rPr>
          <w:rFonts w:ascii="Times New Roman" w:hAnsi="Times New Roman" w:cs="Times New Roman"/>
        </w:rPr>
        <w:t xml:space="preserve">, indicating that every </w:t>
      </w:r>
      <w:r w:rsidRPr="00855169">
        <w:rPr>
          <w:rStyle w:val="Strong"/>
          <w:rFonts w:ascii="Times New Roman" w:eastAsiaTheme="majorEastAsia" w:hAnsi="Times New Roman" w:cs="Times New Roman"/>
          <w:b w:val="0"/>
        </w:rPr>
        <w:t>ETB 1.00</w:t>
      </w:r>
      <w:r w:rsidRPr="00466EF8">
        <w:rPr>
          <w:rFonts w:ascii="Times New Roman" w:hAnsi="Times New Roman" w:cs="Times New Roman"/>
        </w:rPr>
        <w:t xml:space="preserve"> invested in onion production generated </w:t>
      </w:r>
      <w:r w:rsidRPr="00855169">
        <w:rPr>
          <w:rStyle w:val="Strong"/>
          <w:rFonts w:ascii="Times New Roman" w:eastAsiaTheme="majorEastAsia" w:hAnsi="Times New Roman" w:cs="Times New Roman"/>
          <w:b w:val="0"/>
        </w:rPr>
        <w:t>ETB 1.73</w:t>
      </w:r>
      <w:r w:rsidRPr="00466EF8">
        <w:rPr>
          <w:rFonts w:ascii="Times New Roman" w:hAnsi="Times New Roman" w:cs="Times New Roman"/>
        </w:rPr>
        <w:t xml:space="preserve"> in return. In other words, producers obtained a net gain of </w:t>
      </w:r>
      <w:r w:rsidRPr="00855169">
        <w:rPr>
          <w:rStyle w:val="Strong"/>
          <w:rFonts w:ascii="Times New Roman" w:eastAsiaTheme="majorEastAsia" w:hAnsi="Times New Roman" w:cs="Times New Roman"/>
          <w:b w:val="0"/>
        </w:rPr>
        <w:t>ETB 0.73</w:t>
      </w:r>
      <w:r w:rsidRPr="00466EF8">
        <w:rPr>
          <w:rFonts w:ascii="Times New Roman" w:hAnsi="Times New Roman" w:cs="Times New Roman"/>
        </w:rPr>
        <w:t xml:space="preserve"> for every birr invested. Since a BCR greater than one signifies economic feasibility, the obtained value confirms that onion production under irrigated conditions is a profitable and financially viable enterprise. The relatively high BCR further indicates efficient utilization of production resources and a favorable return on investment.</w:t>
      </w:r>
      <w:r>
        <w:rPr>
          <w:rFonts w:ascii="Times New Roman" w:hAnsi="Times New Roman" w:cs="Times New Roman"/>
        </w:rPr>
        <w:t xml:space="preserve"> </w:t>
      </w:r>
      <w:r w:rsidR="00BC43F3" w:rsidRPr="001A2FAD">
        <w:rPr>
          <w:rFonts w:ascii="Times New Roman" w:hAnsi="Times New Roman" w:cs="Times New Roman"/>
        </w:rPr>
        <w:t xml:space="preserve">A BCR greater than 1.0 is widely considered a strong indicator of economic feasibility, demonstrating that the benefits of onion production outweigh the costs </w:t>
      </w:r>
      <w:r w:rsidR="00BC43F3"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&lt;EndNote&gt;&lt;Cite&gt;&lt;Author&gt;Panancheri&lt;/Author&gt;&lt;Year&gt;2023&lt;/Year&gt;&lt;RecNum&gt;107&lt;/RecNum&gt;&lt;DisplayText&gt;(Panancheri, 2023)&lt;/DisplayText&gt;&lt;record&gt;&lt;rec-number&gt;107&lt;/rec-number&gt;&lt;foreign-keys&gt;&lt;key app="EN" db-id="x2savr2skzpztmesfatpfzd7x5rp5ze0d2df" timestamp="1739456635"&gt;107&lt;/key&gt;&lt;/foreign-keys&gt;&lt;ref-type name="Thesis"&gt;32&lt;/ref-type&gt;&lt;contributors&gt;&lt;authors&gt;&lt;author&gt;Panancheri, Ashraf&lt;/author&gt;&lt;/authors&gt;&lt;/contributors&gt;&lt;titles&gt;&lt;title&gt;Economics of high-tech farming in Kerala: an explorative analysis of greenhouse vegetable farms&lt;/title&gt;&lt;/titles&gt;&lt;dates&gt;&lt;year&gt;2023&lt;/year&gt;&lt;/dates&gt;&lt;publisher&gt;PG and Research Department of Economics, St. Joseph’s College (Autonomous …&lt;/publisher&gt;&lt;urls&gt;&lt;/urls&gt;&lt;/record&gt;&lt;/Cite&gt;&lt;/EndNote&gt;</w:instrText>
      </w:r>
      <w:r w:rsidR="00BC43F3" w:rsidRPr="001A2FAD">
        <w:rPr>
          <w:rFonts w:ascii="Times New Roman" w:hAnsi="Times New Roman" w:cs="Times New Roman"/>
        </w:rPr>
        <w:fldChar w:fldCharType="separate"/>
      </w:r>
      <w:r w:rsidR="00064C6E">
        <w:rPr>
          <w:rFonts w:ascii="Times New Roman" w:hAnsi="Times New Roman" w:cs="Times New Roman"/>
          <w:noProof/>
        </w:rPr>
        <w:t>(Panancheri, 2023)</w:t>
      </w:r>
      <w:r w:rsidR="00BC43F3" w:rsidRPr="001A2FAD">
        <w:rPr>
          <w:rFonts w:ascii="Times New Roman" w:hAnsi="Times New Roman" w:cs="Times New Roman"/>
        </w:rPr>
        <w:fldChar w:fldCharType="end"/>
      </w:r>
      <w:r w:rsidR="00BC43F3" w:rsidRPr="001A2FAD">
        <w:rPr>
          <w:rFonts w:ascii="Times New Roman" w:hAnsi="Times New Roman" w:cs="Times New Roman"/>
        </w:rPr>
        <w:t>.</w:t>
      </w:r>
      <w:r w:rsidR="008B16F7">
        <w:rPr>
          <w:rFonts w:ascii="Times New Roman" w:hAnsi="Times New Roman" w:cs="Times New Roman"/>
        </w:rPr>
        <w:t xml:space="preserve"> </w:t>
      </w:r>
      <w:r w:rsidR="00BC43F3" w:rsidRPr="001A2FAD">
        <w:rPr>
          <w:rFonts w:ascii="Times New Roman" w:hAnsi="Times New Roman" w:cs="Times New Roman"/>
        </w:rPr>
        <w:t xml:space="preserve">The high BCR in the Gebiresu Zone of the Afar region reflects the profitability of onion farming under irrigated conditions, where favorable yields, competitive market prices, and efficient resource utilization contribute to the economic viability of the enterprise. The BCR highlights the capacity of onion farming to generate sufficient returns to cover both fixed and variable costs, providing a robust economic foundation for </w:t>
      </w:r>
      <w:r>
        <w:rPr>
          <w:rFonts w:ascii="Times New Roman" w:hAnsi="Times New Roman" w:cs="Times New Roman"/>
        </w:rPr>
        <w:t>producers</w:t>
      </w:r>
      <w:r w:rsidR="00BC43F3" w:rsidRPr="001A2FAD">
        <w:rPr>
          <w:rFonts w:ascii="Times New Roman" w:hAnsi="Times New Roman" w:cs="Times New Roman"/>
        </w:rPr>
        <w:t xml:space="preserve">. However, external factors, such as market price volatility, rising input costs, and climate variability, could potentially undermine future profitability </w:t>
      </w:r>
      <w:r w:rsidR="00BC43F3"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&lt;EndNote&gt;&lt;Cite&gt;&lt;Author&gt;Batten&lt;/Author&gt;&lt;Year&gt;2018&lt;/Year&gt;&lt;RecNum&gt;108&lt;/RecNum&gt;&lt;DisplayText&gt;(Batten, 2018)&lt;/DisplayText&gt;&lt;record&gt;&lt;rec-number&gt;108&lt;/rec-number&gt;&lt;foreign-keys&gt;&lt;key app="EN" db-id="x2savr2skzpztmesfatpfzd7x5rp5ze0d2df" timestamp="1739456782"&gt;108&lt;/key&gt;&lt;/foreign-keys&gt;&lt;ref-type name="Journal Article"&gt;17&lt;/ref-type&gt;&lt;contributors&gt;&lt;authors&gt;&lt;author&gt;Batten, Sandra&lt;/author&gt;&lt;/authors&gt;&lt;/contributors&gt;&lt;titles&gt;&lt;title&gt;Climate change and the macro-economy: a critical review&lt;/title&gt;&lt;/titles&gt;&lt;dates&gt;&lt;year&gt;2018&lt;/year&gt;&lt;/dates&gt;&lt;urls&gt;&lt;/urls&gt;&lt;electronic-resource-num&gt; http://dx.doi.org/10.2139/ssrn.3104554&lt;/electronic-resource-num&gt;&lt;/record&gt;&lt;/Cite&gt;&lt;/EndNote&gt;</w:instrText>
      </w:r>
      <w:r w:rsidR="00BC43F3" w:rsidRPr="001A2FAD">
        <w:rPr>
          <w:rFonts w:ascii="Times New Roman" w:hAnsi="Times New Roman" w:cs="Times New Roman"/>
        </w:rPr>
        <w:fldChar w:fldCharType="separate"/>
      </w:r>
      <w:r w:rsidR="00064C6E">
        <w:rPr>
          <w:rFonts w:ascii="Times New Roman" w:hAnsi="Times New Roman" w:cs="Times New Roman"/>
          <w:noProof/>
        </w:rPr>
        <w:t>(Batten, 2018)</w:t>
      </w:r>
      <w:r w:rsidR="00BC43F3" w:rsidRPr="001A2FAD">
        <w:rPr>
          <w:rFonts w:ascii="Times New Roman" w:hAnsi="Times New Roman" w:cs="Times New Roman"/>
        </w:rPr>
        <w:fldChar w:fldCharType="end"/>
      </w:r>
      <w:r w:rsidR="00BC43F3" w:rsidRPr="001A2FAD">
        <w:rPr>
          <w:rFonts w:ascii="Times New Roman" w:hAnsi="Times New Roman" w:cs="Times New Roman"/>
        </w:rPr>
        <w:t xml:space="preserve">. </w:t>
      </w:r>
    </w:p>
    <w:p w14:paraId="44F7EC6F" w14:textId="0A51D150" w:rsidR="00466EF8" w:rsidRPr="00466EF8" w:rsidRDefault="00466EF8" w:rsidP="0030271E">
      <w:pPr>
        <w:pStyle w:val="Heading3"/>
        <w:numPr>
          <w:ilvl w:val="2"/>
          <w:numId w:val="1"/>
        </w:numPr>
        <w:jc w:val="both"/>
        <w:rPr>
          <w:rFonts w:cs="Times New Roman"/>
          <w:szCs w:val="24"/>
        </w:rPr>
      </w:pPr>
      <w:bookmarkStart w:id="13" w:name="_Hlk232672352"/>
      <w:r w:rsidRPr="00466EF8">
        <w:rPr>
          <w:rFonts w:cs="Times New Roman"/>
          <w:szCs w:val="24"/>
        </w:rPr>
        <w:t>Gross Margin</w:t>
      </w:r>
    </w:p>
    <w:bookmarkEnd w:id="13"/>
    <w:p w14:paraId="76364844" w14:textId="64A851D1" w:rsidR="00466EF8" w:rsidRPr="00F43477" w:rsidRDefault="00466EF8" w:rsidP="00466EF8">
      <w:pPr>
        <w:spacing w:line="360" w:lineRule="auto"/>
        <w:jc w:val="both"/>
        <w:rPr>
          <w:rFonts w:ascii="Times New Roman" w:hAnsi="Times New Roman" w:cs="Times New Roman"/>
        </w:rPr>
      </w:pPr>
      <w:r w:rsidRPr="00F43477">
        <w:rPr>
          <w:rFonts w:ascii="Times New Roman" w:hAnsi="Times New Roman" w:cs="Times New Roman"/>
        </w:rPr>
        <w:t xml:space="preserve">Gross margin, calculated as the difference between gross return and total variable cost, was </w:t>
      </w:r>
      <w:r w:rsidRPr="00855169">
        <w:rPr>
          <w:rStyle w:val="Strong"/>
          <w:rFonts w:ascii="Times New Roman" w:hAnsi="Times New Roman" w:cs="Times New Roman"/>
          <w:b w:val="0"/>
        </w:rPr>
        <w:t>ETB 473,120 ha⁻¹</w:t>
      </w:r>
      <w:r w:rsidRPr="00855169">
        <w:rPr>
          <w:rFonts w:ascii="Times New Roman" w:hAnsi="Times New Roman" w:cs="Times New Roman"/>
          <w:b/>
        </w:rPr>
        <w:t>.</w:t>
      </w:r>
      <w:r w:rsidRPr="00F43477">
        <w:rPr>
          <w:rFonts w:ascii="Times New Roman" w:hAnsi="Times New Roman" w:cs="Times New Roman"/>
        </w:rPr>
        <w:t xml:space="preserve"> The positive gross margin indicates that onion production generated sufficient revenue to cover all variable expenses and still provide a considerable surplus to producers. This finding confirms the economic efficiency of onion production under irrigation and highlights its contribution to farm profitability.</w:t>
      </w:r>
      <w:r w:rsidR="00F74AD9">
        <w:rPr>
          <w:rFonts w:ascii="Times New Roman" w:hAnsi="Times New Roman" w:cs="Times New Roman"/>
        </w:rPr>
        <w:t xml:space="preserve"> </w:t>
      </w:r>
      <w:r w:rsidR="006F5006" w:rsidRPr="006F5006">
        <w:rPr>
          <w:rFonts w:ascii="Times New Roman" w:hAnsi="Times New Roman" w:cs="Times New Roman"/>
        </w:rPr>
        <w:t xml:space="preserve">Similar findings were reported by </w:t>
      </w:r>
      <w:r w:rsidR="006F5006">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&lt;EndNote&gt;&lt;Cite&gt;&lt;Author&gt;Nigussie&lt;/Author&gt;&lt;Year&gt;2015&lt;/Year&gt;&lt;RecNum&gt;8&lt;/RecNum&gt;&lt;DisplayText&gt;(A. Nigussie, Y. Kuma, A. Adisu, T. Alemu, &amp;amp; K. Desalegn, 2015a)&lt;/DisplayText&gt;&lt;record&gt;&lt;rec-number&gt;8&lt;/rec-number&gt;&lt;foreign-keys&gt;&lt;key app="EN" db-id="rv2farxaa5rz9serswtvtwa6e9a00x9tv5sf" timestamp="1771845890"&gt;8&lt;/key&gt;&lt;/foreign-keys&gt;&lt;ref-type name="Journal Article"&gt;17&lt;/ref-type&gt;&lt;contributors&gt;&lt;authors&gt;&lt;author&gt;Nigussie, Aklilu&lt;/author&gt;&lt;author&gt;Kuma, Yitagesu&lt;/author&gt;&lt;author&gt;Adisu, Abiy&lt;/author&gt;&lt;author&gt;Alemu, Tigist&lt;/author&gt;&lt;author&gt;Desalegn, Kidane&lt;/author&gt;&lt;/authors&gt;&lt;/contributors&gt;&lt;titles&gt;&lt;title&gt;Onion production for income generation in small scale irrigation users agropastoral households of Ethiopia&lt;/title&gt;&lt;secondary-title&gt;Journal of Horticulture&lt;/secondary-title&gt;&lt;/titles&gt;&lt;periodical&gt;&lt;full-title&gt;Journal of Horticulture&lt;/full-title&gt;&lt;/periodical&gt;&lt;pages&gt;1-5&lt;/pages&gt;&lt;volume&gt;2&lt;/volume&gt;&lt;number&gt;3&lt;/number&gt;&lt;dates&gt;&lt;year&gt;2015&lt;/year&gt;&lt;/dates&gt;&lt;urls&gt;&lt;/urls&gt;&lt;/record&gt;&lt;/Cite&gt;&lt;/EndNote&gt;</w:instrText>
      </w:r>
      <w:r w:rsidR="006F5006">
        <w:rPr>
          <w:rFonts w:ascii="Times New Roman" w:hAnsi="Times New Roman" w:cs="Times New Roman"/>
        </w:rPr>
        <w:fldChar w:fldCharType="separate"/>
      </w:r>
      <w:r w:rsidR="00064C6E">
        <w:rPr>
          <w:rFonts w:ascii="Times New Roman" w:hAnsi="Times New Roman" w:cs="Times New Roman"/>
          <w:noProof/>
        </w:rPr>
        <w:t>(A. Nigussie, Y. Kuma, A. Adisu, T. Alemu, &amp; K. Desalegn, 2015a)</w:t>
      </w:r>
      <w:r w:rsidR="006F5006">
        <w:rPr>
          <w:rFonts w:ascii="Times New Roman" w:hAnsi="Times New Roman" w:cs="Times New Roman"/>
        </w:rPr>
        <w:fldChar w:fldCharType="end"/>
      </w:r>
      <w:r w:rsidR="006F5006" w:rsidRPr="006F5006">
        <w:rPr>
          <w:rFonts w:ascii="Times New Roman" w:hAnsi="Times New Roman" w:cs="Times New Roman"/>
        </w:rPr>
        <w:t>, who found that onion production generated substantial gross margins under smallholder irrigation schemes in Ethiopia.</w:t>
      </w:r>
    </w:p>
    <w:p w14:paraId="620E7F5E" w14:textId="6D339855" w:rsidR="00466EF8" w:rsidRPr="00466EF8" w:rsidRDefault="00466EF8" w:rsidP="0030271E">
      <w:pPr>
        <w:pStyle w:val="Heading3"/>
        <w:numPr>
          <w:ilvl w:val="2"/>
          <w:numId w:val="1"/>
        </w:numPr>
        <w:jc w:val="both"/>
        <w:rPr>
          <w:rFonts w:cs="Times New Roman"/>
        </w:rPr>
      </w:pPr>
      <w:r w:rsidRPr="00466EF8">
        <w:rPr>
          <w:rFonts w:cs="Times New Roman"/>
          <w:szCs w:val="24"/>
        </w:rPr>
        <w:t>Production</w:t>
      </w:r>
      <w:r w:rsidRPr="00466EF8">
        <w:rPr>
          <w:rFonts w:cs="Times New Roman"/>
        </w:rPr>
        <w:t xml:space="preserve"> Cost per Kilogram</w:t>
      </w:r>
    </w:p>
    <w:p w14:paraId="61392797" w14:textId="33CAB9AF" w:rsidR="00466EF8" w:rsidRPr="00F43477" w:rsidRDefault="00466EF8" w:rsidP="00466EF8">
      <w:pPr>
        <w:spacing w:line="360" w:lineRule="auto"/>
        <w:jc w:val="both"/>
        <w:rPr>
          <w:rFonts w:ascii="Times New Roman" w:hAnsi="Times New Roman" w:cs="Times New Roman"/>
        </w:rPr>
      </w:pPr>
      <w:r w:rsidRPr="00F43477">
        <w:rPr>
          <w:rFonts w:ascii="Times New Roman" w:hAnsi="Times New Roman" w:cs="Times New Roman"/>
        </w:rPr>
        <w:t xml:space="preserve">The average </w:t>
      </w:r>
      <w:r w:rsidRPr="00855169">
        <w:rPr>
          <w:rStyle w:val="Strong"/>
          <w:rFonts w:ascii="Times New Roman" w:hAnsi="Times New Roman" w:cs="Times New Roman"/>
          <w:b w:val="0"/>
        </w:rPr>
        <w:t>production cost per kilogram of onion was ETB 23.1</w:t>
      </w:r>
      <w:r w:rsidRPr="00855169">
        <w:rPr>
          <w:rFonts w:ascii="Times New Roman" w:hAnsi="Times New Roman" w:cs="Times New Roman"/>
          <w:b/>
        </w:rPr>
        <w:t>,</w:t>
      </w:r>
      <w:r w:rsidRPr="00F43477">
        <w:rPr>
          <w:rFonts w:ascii="Times New Roman" w:hAnsi="Times New Roman" w:cs="Times New Roman"/>
        </w:rPr>
        <w:t xml:space="preserve"> whereas the average selling price was </w:t>
      </w:r>
      <w:r w:rsidRPr="00855169">
        <w:rPr>
          <w:rStyle w:val="Strong"/>
          <w:rFonts w:ascii="Times New Roman" w:hAnsi="Times New Roman" w:cs="Times New Roman"/>
          <w:b w:val="0"/>
        </w:rPr>
        <w:t>ETB 40 kg⁻¹</w:t>
      </w:r>
      <w:r w:rsidRPr="00855169">
        <w:rPr>
          <w:rFonts w:ascii="Times New Roman" w:hAnsi="Times New Roman" w:cs="Times New Roman"/>
          <w:b/>
        </w:rPr>
        <w:t>.</w:t>
      </w:r>
      <w:r w:rsidRPr="00F43477">
        <w:rPr>
          <w:rFonts w:ascii="Times New Roman" w:hAnsi="Times New Roman" w:cs="Times New Roman"/>
        </w:rPr>
        <w:t xml:space="preserve"> This implies a price-cost margin of </w:t>
      </w:r>
      <w:r w:rsidRPr="00855169">
        <w:rPr>
          <w:rStyle w:val="Strong"/>
          <w:rFonts w:ascii="Times New Roman" w:hAnsi="Times New Roman" w:cs="Times New Roman"/>
          <w:b w:val="0"/>
        </w:rPr>
        <w:t>ETB 16.9 kg⁻¹</w:t>
      </w:r>
      <w:r w:rsidRPr="00855169">
        <w:rPr>
          <w:rFonts w:ascii="Times New Roman" w:hAnsi="Times New Roman" w:cs="Times New Roman"/>
          <w:b/>
        </w:rPr>
        <w:t>,</w:t>
      </w:r>
      <w:r w:rsidRPr="00F43477">
        <w:rPr>
          <w:rFonts w:ascii="Times New Roman" w:hAnsi="Times New Roman" w:cs="Times New Roman"/>
        </w:rPr>
        <w:t xml:space="preserve"> demonstrating that producers received a substantial return above production costs for every kilogram sold. The relatively low unit production cost compared with the market price indicates efficient production practices and favorable economic performance</w:t>
      </w:r>
      <w:r w:rsidR="006F5006">
        <w:rPr>
          <w:rFonts w:ascii="Times New Roman" w:hAnsi="Times New Roman" w:cs="Times New Roman"/>
        </w:rPr>
        <w:t xml:space="preserve"> </w:t>
      </w:r>
      <w:r w:rsidR="00E92CF1">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&lt;EndNote&gt;&lt;Cite&gt;&lt;Author&gt;Nigussie&lt;/Author&gt;&lt;Year&gt;2015&lt;/Year&gt;&lt;RecNum&gt;8&lt;/RecNum&gt;&lt;DisplayText&gt;(Beshir &amp;amp; Nishikawa, 2012; Nigussie et al., 2015a)&lt;/DisplayText&gt;&lt;record&gt;&lt;rec-number&gt;8&lt;/rec-number&gt;&lt;foreign-keys&gt;&lt;key app="EN" db-id="rv2farxaa5rz9serswtvtwa6e9a00x9tv5sf" timestamp="1771845890"&gt;8&lt;/key&gt;&lt;/foreign-keys&gt;&lt;ref-type name="Journal Article"&gt;17&lt;/ref-type&gt;&lt;contributors&gt;&lt;authors&gt;&lt;author&gt;Nigussie, Aklilu&lt;/author&gt;&lt;author&gt;Kuma, Yitagesu&lt;/author&gt;&lt;author&gt;Adisu, Abiy&lt;/author&gt;&lt;author&gt;Alemu, Tigist&lt;/author&gt;&lt;author&gt;Desalegn, Kidane&lt;/author&gt;&lt;/authors&gt;&lt;/contributors&gt;&lt;titles&gt;&lt;title&gt;Onion production for income generation in small scale irrigation users agropastoral households of Ethiopia&lt;/title&gt;&lt;secondary-title&gt;Journal of Horticulture&lt;/secondary-title&gt;&lt;/titles&gt;&lt;periodical&gt;&lt;full-title&gt;Journal of Horticulture&lt;/full-title&gt;&lt;/periodical&gt;&lt;pages&gt;1-5&lt;/pages&gt;&lt;volume&gt;2&lt;/volume&gt;&lt;number&gt;3&lt;/number&gt;&lt;dates&gt;&lt;year&gt;2015&lt;/year&gt;&lt;/dates&gt;&lt;urls&gt;&lt;/urls&gt;&lt;/record&gt;&lt;/Cite&gt;&lt;Cite&gt;&lt;Author&gt;Beshir&lt;/Author&gt;&lt;Year&gt;2012&lt;/Year&gt;&lt;RecNum&gt;12&lt;/RecNum&gt;&lt;record&gt;&lt;rec-number&gt;12&lt;/rec-number&gt;&lt;foreign-keys&gt;&lt;key app="EN" db-id="rv2farxaa5rz9serswtvtwa6e9a00x9tv5sf" timestamp="1781786649"&gt;12&lt;/key&gt;&lt;/foreign-keys&gt;&lt;ref-type name="Journal Article"&gt;17&lt;/ref-type&gt;&lt;contributors&gt;&lt;authors&gt;&lt;author&gt;Beshir, Bedru&lt;/author&gt;&lt;author&gt;Nishikawa, Yoshiaki&lt;/author&gt;&lt;/authors&gt;&lt;/contributors&gt;&lt;titles&gt;&lt;title&gt;Cost-benefit analysis of small-scale onion and tomato farming in Melkassa area: Central Rift Valley of Ethiopia&lt;/title&gt;&lt;secondary-title&gt;Tropical Agriculture and Development&lt;/secondary-title&gt;&lt;/titles&gt;&lt;periodical&gt;&lt;full-title&gt;Tropical Agriculture and Development&lt;/full-title&gt;&lt;/periodical&gt;&lt;pages&gt;143-150&lt;/pages&gt;&lt;volume&gt;56&lt;/volume&gt;&lt;number&gt;4&lt;/number&gt;&lt;dates&gt;&lt;year&gt;2012&lt;/year&gt;&lt;/dates&gt;&lt;isbn&gt;1882-8450&lt;/isbn&gt;&lt;urls&gt;&lt;/urls&gt;&lt;/record&gt;&lt;/Cite&gt;&lt;/EndNote&gt;</w:instrText>
      </w:r>
      <w:r w:rsidR="00E92CF1">
        <w:rPr>
          <w:rFonts w:ascii="Times New Roman" w:hAnsi="Times New Roman" w:cs="Times New Roman"/>
        </w:rPr>
        <w:fldChar w:fldCharType="separate"/>
      </w:r>
      <w:r w:rsidR="00064C6E">
        <w:rPr>
          <w:rFonts w:ascii="Times New Roman" w:hAnsi="Times New Roman" w:cs="Times New Roman"/>
          <w:noProof/>
        </w:rPr>
        <w:t>(Beshir &amp; Nishikawa, 2012; Nigussie et al., 2015a)</w:t>
      </w:r>
      <w:r w:rsidR="00E92CF1">
        <w:rPr>
          <w:rFonts w:ascii="Times New Roman" w:hAnsi="Times New Roman" w:cs="Times New Roman"/>
        </w:rPr>
        <w:fldChar w:fldCharType="end"/>
      </w:r>
      <w:r w:rsidRPr="00F43477">
        <w:rPr>
          <w:rFonts w:ascii="Times New Roman" w:hAnsi="Times New Roman" w:cs="Times New Roman"/>
        </w:rPr>
        <w:t>.</w:t>
      </w:r>
      <w:r w:rsidR="006F5006">
        <w:rPr>
          <w:rFonts w:ascii="Times New Roman" w:hAnsi="Times New Roman" w:cs="Times New Roman"/>
        </w:rPr>
        <w:t xml:space="preserve"> </w:t>
      </w:r>
    </w:p>
    <w:p w14:paraId="68B0C204" w14:textId="1BC11A71" w:rsidR="00466EF8" w:rsidRPr="00F43477" w:rsidRDefault="00466EF8" w:rsidP="0030271E">
      <w:pPr>
        <w:pStyle w:val="Heading3"/>
        <w:numPr>
          <w:ilvl w:val="2"/>
          <w:numId w:val="1"/>
        </w:numPr>
        <w:jc w:val="both"/>
        <w:rPr>
          <w:rFonts w:cs="Times New Roman"/>
          <w:szCs w:val="24"/>
        </w:rPr>
      </w:pPr>
      <w:bookmarkStart w:id="14" w:name="_Hlk232672387"/>
      <w:r w:rsidRPr="00F43477">
        <w:rPr>
          <w:rFonts w:cs="Times New Roman"/>
          <w:szCs w:val="24"/>
        </w:rPr>
        <w:lastRenderedPageBreak/>
        <w:t>Profit Margin</w:t>
      </w:r>
    </w:p>
    <w:bookmarkEnd w:id="14"/>
    <w:p w14:paraId="600FFE73" w14:textId="53E38127" w:rsidR="00466EF8" w:rsidRPr="00F43477" w:rsidRDefault="00466EF8" w:rsidP="00466EF8">
      <w:pPr>
        <w:spacing w:line="360" w:lineRule="auto"/>
        <w:jc w:val="both"/>
        <w:rPr>
          <w:rFonts w:ascii="Times New Roman" w:hAnsi="Times New Roman" w:cs="Times New Roman"/>
        </w:rPr>
      </w:pPr>
      <w:r w:rsidRPr="00F43477">
        <w:rPr>
          <w:rFonts w:ascii="Times New Roman" w:hAnsi="Times New Roman" w:cs="Times New Roman"/>
        </w:rPr>
        <w:t xml:space="preserve">The </w:t>
      </w:r>
      <w:r w:rsidRPr="00855169">
        <w:rPr>
          <w:rStyle w:val="Strong"/>
          <w:rFonts w:ascii="Times New Roman" w:hAnsi="Times New Roman" w:cs="Times New Roman"/>
          <w:b w:val="0"/>
        </w:rPr>
        <w:t>profit margin was 42.24%</w:t>
      </w:r>
      <w:r w:rsidRPr="00855169">
        <w:rPr>
          <w:rFonts w:ascii="Times New Roman" w:hAnsi="Times New Roman" w:cs="Times New Roman"/>
          <w:b/>
        </w:rPr>
        <w:t>,</w:t>
      </w:r>
      <w:r w:rsidRPr="00F43477">
        <w:rPr>
          <w:rFonts w:ascii="Times New Roman" w:hAnsi="Times New Roman" w:cs="Times New Roman"/>
        </w:rPr>
        <w:t xml:space="preserve"> indicating that approximately </w:t>
      </w:r>
      <w:r w:rsidRPr="00855169">
        <w:rPr>
          <w:rStyle w:val="Strong"/>
          <w:rFonts w:ascii="Times New Roman" w:hAnsi="Times New Roman" w:cs="Times New Roman"/>
          <w:b w:val="0"/>
        </w:rPr>
        <w:t>42% of total revenue remained as profit</w:t>
      </w:r>
      <w:r w:rsidRPr="00855169">
        <w:rPr>
          <w:rFonts w:ascii="Times New Roman" w:hAnsi="Times New Roman" w:cs="Times New Roman"/>
          <w:b/>
        </w:rPr>
        <w:t xml:space="preserve"> </w:t>
      </w:r>
      <w:r w:rsidRPr="00F43477">
        <w:rPr>
          <w:rFonts w:ascii="Times New Roman" w:hAnsi="Times New Roman" w:cs="Times New Roman"/>
        </w:rPr>
        <w:t>after covering all production and marketing expenses. A profit margin exceeding 40% reflects strong financial performance and suggests that onion production provides attractive returns to producers. Such a high margin enhances the enterprise's resilience against production risks and market uncertainties.</w:t>
      </w:r>
      <w:r w:rsidR="001E6452">
        <w:rPr>
          <w:rFonts w:ascii="Times New Roman" w:hAnsi="Times New Roman" w:cs="Times New Roman"/>
        </w:rPr>
        <w:t xml:space="preserve"> </w:t>
      </w:r>
      <w:r w:rsidR="001E6452" w:rsidRPr="001E6452">
        <w:rPr>
          <w:rFonts w:ascii="Times New Roman" w:hAnsi="Times New Roman" w:cs="Times New Roman"/>
        </w:rPr>
        <w:t>This finding is consistent with previous studies that identified onion as one of the most profitable vegetable crops under irrigated production systems</w:t>
      </w:r>
      <w:r w:rsidR="001E6452">
        <w:rPr>
          <w:rFonts w:ascii="Times New Roman" w:hAnsi="Times New Roman" w:cs="Times New Roman"/>
        </w:rPr>
        <w:t xml:space="preserve"> </w:t>
      </w:r>
      <w:r w:rsidR="001E6452">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&lt;EndNote&gt;&lt;Cite&gt;&lt;Author&gt;Nigussie&lt;/Author&gt;&lt;Year&gt;2015&lt;/Year&gt;&lt;RecNum&gt;6&lt;/RecNum&gt;&lt;DisplayText&gt;(Nigussie et al., 2015a)&lt;/DisplayText&gt;&lt;record&gt;&lt;rec-number&gt;6&lt;/rec-number&gt;&lt;foreign-keys&gt;&lt;key app="EN" db-id="rv2farxaa5rz9serswtvtwa6e9a00x9tv5sf" timestamp="1771845393"&gt;6&lt;/key&gt;&lt;/foreign-keys&gt;&lt;ref-type name="Journal Article"&gt;17&lt;/ref-type&gt;&lt;contributors&gt;&lt;authors&gt;&lt;author&gt;Nigussie, Aklilu&lt;/author&gt;&lt;author&gt;Kuma, Yitagesu&lt;/author&gt;&lt;author&gt;Adisu, Abiy&lt;/author&gt;&lt;author&gt;Alemu, Tigist&lt;/author&gt;&lt;author&gt;Desalegn, Kidane&lt;/author&gt;&lt;/authors&gt;&lt;/contributors&gt;&lt;titles&gt;&lt;title&gt;Onion production for income generation in small scale irrigation users agropastoral households of Ethiopia&lt;/title&gt;&lt;secondary-title&gt;Journal of Horticulture&lt;/secondary-title&gt;&lt;/titles&gt;&lt;periodical&gt;&lt;full-title&gt;Journal of Horticulture&lt;/full-title&gt;&lt;/periodical&gt;&lt;pages&gt;1-5&lt;/pages&gt;&lt;volume&gt;2&lt;/volume&gt;&lt;number&gt;3&lt;/number&gt;&lt;dates&gt;&lt;year&gt;2015&lt;/year&gt;&lt;/dates&gt;&lt;urls&gt;&lt;/urls&gt;&lt;/record&gt;&lt;/Cite&gt;&lt;/EndNote&gt;</w:instrText>
      </w:r>
      <w:r w:rsidR="001E6452">
        <w:rPr>
          <w:rFonts w:ascii="Times New Roman" w:hAnsi="Times New Roman" w:cs="Times New Roman"/>
        </w:rPr>
        <w:fldChar w:fldCharType="separate"/>
      </w:r>
      <w:r w:rsidR="00064C6E">
        <w:rPr>
          <w:rFonts w:ascii="Times New Roman" w:hAnsi="Times New Roman" w:cs="Times New Roman"/>
          <w:noProof/>
        </w:rPr>
        <w:t>(Nigussie et al., 2015a)</w:t>
      </w:r>
      <w:r w:rsidR="001E6452">
        <w:rPr>
          <w:rFonts w:ascii="Times New Roman" w:hAnsi="Times New Roman" w:cs="Times New Roman"/>
        </w:rPr>
        <w:fldChar w:fldCharType="end"/>
      </w:r>
      <w:r w:rsidR="001E6452" w:rsidRPr="001E6452">
        <w:rPr>
          <w:rFonts w:ascii="Times New Roman" w:hAnsi="Times New Roman" w:cs="Times New Roman"/>
        </w:rPr>
        <w:t>.</w:t>
      </w:r>
    </w:p>
    <w:p w14:paraId="33F43480" w14:textId="4EFB5E84" w:rsidR="00466EF8" w:rsidRPr="00F43477" w:rsidRDefault="00466EF8" w:rsidP="0030271E">
      <w:pPr>
        <w:pStyle w:val="Heading3"/>
        <w:numPr>
          <w:ilvl w:val="2"/>
          <w:numId w:val="1"/>
        </w:numPr>
        <w:jc w:val="both"/>
        <w:rPr>
          <w:rFonts w:cs="Times New Roman"/>
          <w:szCs w:val="24"/>
        </w:rPr>
      </w:pPr>
      <w:bookmarkStart w:id="15" w:name="_Hlk232672402"/>
      <w:r w:rsidRPr="00F43477">
        <w:rPr>
          <w:rFonts w:cs="Times New Roman"/>
          <w:szCs w:val="24"/>
        </w:rPr>
        <w:t>Labor Productivity</w:t>
      </w:r>
    </w:p>
    <w:bookmarkEnd w:id="15"/>
    <w:p w14:paraId="3A8EDD6E" w14:textId="2F3B1474" w:rsidR="00466EF8" w:rsidRPr="00F43477" w:rsidRDefault="00466EF8" w:rsidP="00466EF8">
      <w:pPr>
        <w:spacing w:line="360" w:lineRule="auto"/>
        <w:jc w:val="both"/>
        <w:rPr>
          <w:rFonts w:ascii="Times New Roman" w:hAnsi="Times New Roman" w:cs="Times New Roman"/>
        </w:rPr>
      </w:pPr>
      <w:r w:rsidRPr="00F43477">
        <w:rPr>
          <w:rFonts w:ascii="Times New Roman" w:hAnsi="Times New Roman" w:cs="Times New Roman"/>
        </w:rPr>
        <w:t xml:space="preserve">Labor productivity was estimated at </w:t>
      </w:r>
      <w:r w:rsidRPr="00855169">
        <w:rPr>
          <w:rStyle w:val="Strong"/>
          <w:rFonts w:ascii="Times New Roman" w:hAnsi="Times New Roman" w:cs="Times New Roman"/>
          <w:b w:val="0"/>
        </w:rPr>
        <w:t>ETB 250 Labor Day⁻¹</w:t>
      </w:r>
      <w:r w:rsidRPr="00F43477">
        <w:rPr>
          <w:rFonts w:ascii="Times New Roman" w:hAnsi="Times New Roman" w:cs="Times New Roman"/>
        </w:rPr>
        <w:t xml:space="preserve">, indicating that each </w:t>
      </w:r>
      <w:r w:rsidR="00855169">
        <w:rPr>
          <w:rFonts w:ascii="Times New Roman" w:hAnsi="Times New Roman" w:cs="Times New Roman"/>
        </w:rPr>
        <w:t>laborer</w:t>
      </w:r>
      <w:r w:rsidRPr="00F43477">
        <w:rPr>
          <w:rFonts w:ascii="Times New Roman" w:hAnsi="Times New Roman" w:cs="Times New Roman"/>
        </w:rPr>
        <w:t xml:space="preserve"> employed in onion production generated ETB 250 in economic returns. This finding demonstrates the contribution of onion production to rural employment and income generation. The positive labor productivity also suggests that labor resources were utilized efficiently throughout production, harvesting, and marketing activities.</w:t>
      </w:r>
      <w:r w:rsidR="001E6452">
        <w:rPr>
          <w:rFonts w:ascii="Times New Roman" w:hAnsi="Times New Roman" w:cs="Times New Roman"/>
        </w:rPr>
        <w:t xml:space="preserve"> </w:t>
      </w:r>
      <w:r w:rsidR="001E6452" w:rsidRPr="001E6452">
        <w:rPr>
          <w:rFonts w:ascii="Times New Roman" w:hAnsi="Times New Roman" w:cs="Times New Roman"/>
        </w:rPr>
        <w:t>Similar findings have been reported in studies of irrigated vegetable production in Ethiopia and other developing countries, where onion cultivation was found to generate substantial returns to labor due to its labor-intensive nature and relatively high market value</w:t>
      </w:r>
      <w:r w:rsidR="001E6452">
        <w:rPr>
          <w:rFonts w:ascii="Times New Roman" w:hAnsi="Times New Roman" w:cs="Times New Roman"/>
        </w:rPr>
        <w:t xml:space="preserve"> </w:t>
      </w:r>
      <w:r w:rsidR="001E6452">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&lt;EndNote&gt;&lt;Cite&gt;&lt;Author&gt;Fikadu&lt;/Author&gt;&lt;Year&gt;2022&lt;/Year&gt;&lt;RecNum&gt;14&lt;/RecNum&gt;&lt;DisplayText&gt;(Fikadu, 2022)&lt;/DisplayText&gt;&lt;record&gt;&lt;rec-number&gt;14&lt;/rec-number&gt;&lt;foreign-keys&gt;&lt;key app="EN" db-id="rv2farxaa5rz9serswtvtwa6e9a00x9tv5sf" timestamp="1781790383"&gt;14&lt;/key&gt;&lt;/foreign-keys&gt;&lt;ref-type name="Journal Article"&gt;17&lt;/ref-type&gt;&lt;contributors&gt;&lt;authors&gt;&lt;author&gt;Fikadu, Tamirat&lt;/author&gt;&lt;/authors&gt;&lt;/contributors&gt;&lt;titles&gt;&lt;title&gt;Technical efficiency of irrigated onion and tomato production in the central rift valley of Ethiopia&lt;/title&gt;&lt;secondary-title&gt;Ethiopian Journal of Agricultural Sciences&lt;/secondary-title&gt;&lt;/titles&gt;&lt;periodical&gt;&lt;full-title&gt;Ethiopian Journal of Agricultural Sciences&lt;/full-title&gt;&lt;/periodical&gt;&lt;pages&gt;148-162&lt;/pages&gt;&lt;volume&gt;32&lt;/volume&gt;&lt;number&gt;3&lt;/number&gt;&lt;dates&gt;&lt;year&gt;2022&lt;/year&gt;&lt;/dates&gt;&lt;isbn&gt;2415-2382&lt;/isbn&gt;&lt;urls&gt;&lt;/urls&gt;&lt;/record&gt;&lt;/Cite&gt;&lt;/EndNote&gt;</w:instrText>
      </w:r>
      <w:r w:rsidR="001E6452">
        <w:rPr>
          <w:rFonts w:ascii="Times New Roman" w:hAnsi="Times New Roman" w:cs="Times New Roman"/>
        </w:rPr>
        <w:fldChar w:fldCharType="separate"/>
      </w:r>
      <w:r w:rsidR="00064C6E">
        <w:rPr>
          <w:rFonts w:ascii="Times New Roman" w:hAnsi="Times New Roman" w:cs="Times New Roman"/>
          <w:noProof/>
        </w:rPr>
        <w:t>(Fikadu, 2022)</w:t>
      </w:r>
      <w:r w:rsidR="001E6452">
        <w:rPr>
          <w:rFonts w:ascii="Times New Roman" w:hAnsi="Times New Roman" w:cs="Times New Roman"/>
        </w:rPr>
        <w:fldChar w:fldCharType="end"/>
      </w:r>
      <w:r w:rsidR="001E6452" w:rsidRPr="001E6452">
        <w:rPr>
          <w:rFonts w:ascii="Times New Roman" w:hAnsi="Times New Roman" w:cs="Times New Roman"/>
        </w:rPr>
        <w:t xml:space="preserve">. </w:t>
      </w:r>
    </w:p>
    <w:p w14:paraId="4FD4E089" w14:textId="3C860B59" w:rsidR="009F1035" w:rsidRPr="001A2FAD" w:rsidRDefault="009F1035" w:rsidP="001A2FAD">
      <w:pPr>
        <w:spacing w:line="360" w:lineRule="auto"/>
        <w:jc w:val="both"/>
        <w:rPr>
          <w:rFonts w:ascii="Times New Roman" w:hAnsi="Times New Roman" w:cs="Times New Roman"/>
        </w:rPr>
      </w:pPr>
      <w:r w:rsidRPr="001A2FAD">
        <w:rPr>
          <w:rFonts w:ascii="Times New Roman" w:hAnsi="Times New Roman" w:cs="Times New Roman"/>
        </w:rPr>
        <w:t xml:space="preserve">Table </w:t>
      </w:r>
      <w:r w:rsidRPr="001A2FAD">
        <w:rPr>
          <w:rFonts w:ascii="Times New Roman" w:hAnsi="Times New Roman" w:cs="Times New Roman"/>
        </w:rPr>
        <w:fldChar w:fldCharType="begin"/>
      </w:r>
      <w:r w:rsidRPr="001A2FAD">
        <w:rPr>
          <w:rFonts w:ascii="Times New Roman" w:hAnsi="Times New Roman" w:cs="Times New Roman"/>
        </w:rPr>
        <w:instrText xml:space="preserve"> SEQ Table \* ARABIC </w:instrText>
      </w:r>
      <w:r w:rsidRPr="001A2FAD">
        <w:rPr>
          <w:rFonts w:ascii="Times New Roman" w:hAnsi="Times New Roman" w:cs="Times New Roman"/>
        </w:rPr>
        <w:fldChar w:fldCharType="separate"/>
      </w:r>
      <w:r w:rsidR="00301823" w:rsidRPr="001A2FAD">
        <w:rPr>
          <w:rFonts w:ascii="Times New Roman" w:hAnsi="Times New Roman" w:cs="Times New Roman"/>
        </w:rPr>
        <w:t>2</w:t>
      </w:r>
      <w:r w:rsidRPr="001A2FAD">
        <w:rPr>
          <w:rFonts w:ascii="Times New Roman" w:hAnsi="Times New Roman" w:cs="Times New Roman"/>
        </w:rPr>
        <w:fldChar w:fldCharType="end"/>
      </w:r>
      <w:r w:rsidRPr="001A2FAD">
        <w:rPr>
          <w:rFonts w:ascii="Times New Roman" w:hAnsi="Times New Roman" w:cs="Times New Roman"/>
        </w:rPr>
        <w:t xml:space="preserve"> Economic Performance Indicators of Onion Production under Irrigated Conditions</w:t>
      </w:r>
    </w:p>
    <w:tbl>
      <w:tblPr>
        <w:tblW w:w="9072" w:type="dxa"/>
        <w:tblInd w:w="108" w:type="dxa"/>
        <w:tblLook w:val="04A0" w:firstRow="1" w:lastRow="0" w:firstColumn="1" w:lastColumn="0" w:noHBand="0" w:noVBand="1"/>
      </w:tblPr>
      <w:tblGrid>
        <w:gridCol w:w="4992"/>
        <w:gridCol w:w="2344"/>
        <w:gridCol w:w="1736"/>
      </w:tblGrid>
      <w:tr w:rsidR="009F1035" w:rsidRPr="001A2FAD" w14:paraId="7D743AC1" w14:textId="77777777" w:rsidTr="00F27B21">
        <w:trPr>
          <w:trHeight w:val="295"/>
        </w:trPr>
        <w:tc>
          <w:tcPr>
            <w:tcW w:w="4992" w:type="dxa"/>
            <w:tcBorders>
              <w:top w:val="single" w:sz="4" w:space="0" w:color="auto"/>
              <w:bottom w:val="single" w:sz="4" w:space="0" w:color="auto"/>
            </w:tcBorders>
            <w:shd w:val="clear" w:color="auto" w:fill="92D050"/>
            <w:vAlign w:val="center"/>
            <w:hideMark/>
          </w:tcPr>
          <w:p w14:paraId="3E1482A0" w14:textId="77777777" w:rsidR="009F1035" w:rsidRPr="001A2FAD" w:rsidRDefault="009F1035" w:rsidP="001A2FAD">
            <w:pPr>
              <w:spacing w:line="240" w:lineRule="auto"/>
              <w:jc w:val="both"/>
              <w:rPr>
                <w:rFonts w:ascii="Times New Roman" w:hAnsi="Times New Roman" w:cs="Times New Roman"/>
                <w:b/>
                <w:bCs/>
              </w:rPr>
            </w:pPr>
            <w:r w:rsidRPr="001A2FAD">
              <w:rPr>
                <w:rFonts w:ascii="Times New Roman" w:hAnsi="Times New Roman" w:cs="Times New Roman"/>
                <w:b/>
                <w:bCs/>
              </w:rPr>
              <w:t>Indicator</w:t>
            </w:r>
          </w:p>
        </w:tc>
        <w:tc>
          <w:tcPr>
            <w:tcW w:w="2344" w:type="dxa"/>
            <w:tcBorders>
              <w:top w:val="single" w:sz="4" w:space="0" w:color="auto"/>
              <w:bottom w:val="single" w:sz="4" w:space="0" w:color="auto"/>
            </w:tcBorders>
            <w:shd w:val="clear" w:color="auto" w:fill="92D050"/>
            <w:vAlign w:val="center"/>
            <w:hideMark/>
          </w:tcPr>
          <w:p w14:paraId="33E40726" w14:textId="77777777" w:rsidR="009F1035" w:rsidRPr="001A2FAD" w:rsidRDefault="009F1035" w:rsidP="00F27B21">
            <w:pPr>
              <w:spacing w:line="240" w:lineRule="auto"/>
              <w:jc w:val="center"/>
              <w:rPr>
                <w:rFonts w:ascii="Times New Roman" w:hAnsi="Times New Roman" w:cs="Times New Roman"/>
                <w:b/>
                <w:bCs/>
              </w:rPr>
            </w:pPr>
            <w:r w:rsidRPr="001A2FAD">
              <w:rPr>
                <w:rFonts w:ascii="Times New Roman" w:hAnsi="Times New Roman" w:cs="Times New Roman"/>
                <w:b/>
                <w:bCs/>
              </w:rPr>
              <w:t>Unit</w:t>
            </w:r>
          </w:p>
        </w:tc>
        <w:tc>
          <w:tcPr>
            <w:tcW w:w="1736" w:type="dxa"/>
            <w:tcBorders>
              <w:top w:val="single" w:sz="4" w:space="0" w:color="auto"/>
              <w:bottom w:val="single" w:sz="4" w:space="0" w:color="auto"/>
            </w:tcBorders>
            <w:shd w:val="clear" w:color="auto" w:fill="92D050"/>
            <w:vAlign w:val="center"/>
            <w:hideMark/>
          </w:tcPr>
          <w:p w14:paraId="4DF2FA2C" w14:textId="77777777" w:rsidR="009F1035" w:rsidRPr="001A2FAD" w:rsidRDefault="009F1035" w:rsidP="00F27B21">
            <w:pPr>
              <w:spacing w:line="240" w:lineRule="auto"/>
              <w:jc w:val="center"/>
              <w:rPr>
                <w:rFonts w:ascii="Times New Roman" w:hAnsi="Times New Roman" w:cs="Times New Roman"/>
                <w:b/>
                <w:bCs/>
              </w:rPr>
            </w:pPr>
            <w:r w:rsidRPr="001A2FAD">
              <w:rPr>
                <w:rFonts w:ascii="Times New Roman" w:hAnsi="Times New Roman" w:cs="Times New Roman"/>
                <w:b/>
                <w:bCs/>
              </w:rPr>
              <w:t>Value</w:t>
            </w:r>
          </w:p>
        </w:tc>
      </w:tr>
      <w:tr w:rsidR="009F1035" w:rsidRPr="001A2FAD" w14:paraId="4BAD1112" w14:textId="77777777" w:rsidTr="00F27B21">
        <w:trPr>
          <w:trHeight w:val="295"/>
        </w:trPr>
        <w:tc>
          <w:tcPr>
            <w:tcW w:w="4992" w:type="dxa"/>
            <w:tcBorders>
              <w:top w:val="single" w:sz="4" w:space="0" w:color="auto"/>
            </w:tcBorders>
            <w:shd w:val="clear" w:color="auto" w:fill="auto"/>
            <w:vAlign w:val="center"/>
            <w:hideMark/>
          </w:tcPr>
          <w:p w14:paraId="6EFEF6F8" w14:textId="77777777" w:rsidR="009F1035" w:rsidRPr="001A2FAD" w:rsidRDefault="009F1035" w:rsidP="001A2FAD">
            <w:pPr>
              <w:spacing w:line="240" w:lineRule="auto"/>
              <w:jc w:val="both"/>
              <w:rPr>
                <w:rFonts w:ascii="Times New Roman" w:hAnsi="Times New Roman" w:cs="Times New Roman"/>
                <w:bCs/>
              </w:rPr>
            </w:pPr>
            <w:r w:rsidRPr="001A2FAD">
              <w:rPr>
                <w:rFonts w:ascii="Times New Roman" w:hAnsi="Times New Roman" w:cs="Times New Roman"/>
                <w:bCs/>
              </w:rPr>
              <w:t>Total Production and Marketing Cost</w:t>
            </w:r>
          </w:p>
        </w:tc>
        <w:tc>
          <w:tcPr>
            <w:tcW w:w="2344" w:type="dxa"/>
            <w:tcBorders>
              <w:top w:val="single" w:sz="4" w:space="0" w:color="auto"/>
            </w:tcBorders>
            <w:shd w:val="clear" w:color="auto" w:fill="auto"/>
            <w:vAlign w:val="center"/>
            <w:hideMark/>
          </w:tcPr>
          <w:p w14:paraId="465587D9"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ETB ha⁻¹</w:t>
            </w:r>
          </w:p>
        </w:tc>
        <w:tc>
          <w:tcPr>
            <w:tcW w:w="1736" w:type="dxa"/>
            <w:tcBorders>
              <w:top w:val="single" w:sz="4" w:space="0" w:color="auto"/>
            </w:tcBorders>
            <w:shd w:val="clear" w:color="auto" w:fill="auto"/>
            <w:vAlign w:val="center"/>
            <w:hideMark/>
          </w:tcPr>
          <w:p w14:paraId="5A495E21"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646,880</w:t>
            </w:r>
          </w:p>
        </w:tc>
      </w:tr>
      <w:tr w:rsidR="009F1035" w:rsidRPr="001A2FAD" w14:paraId="4E50D9A6" w14:textId="77777777" w:rsidTr="00F27B21">
        <w:trPr>
          <w:trHeight w:val="295"/>
        </w:trPr>
        <w:tc>
          <w:tcPr>
            <w:tcW w:w="4992" w:type="dxa"/>
            <w:shd w:val="clear" w:color="auto" w:fill="auto"/>
            <w:vAlign w:val="center"/>
            <w:hideMark/>
          </w:tcPr>
          <w:p w14:paraId="4974CDC2" w14:textId="77777777" w:rsidR="009F1035" w:rsidRPr="001A2FAD" w:rsidRDefault="009F1035" w:rsidP="001A2FAD">
            <w:pPr>
              <w:spacing w:line="240" w:lineRule="auto"/>
              <w:jc w:val="both"/>
              <w:rPr>
                <w:rFonts w:ascii="Times New Roman" w:hAnsi="Times New Roman" w:cs="Times New Roman"/>
                <w:bCs/>
              </w:rPr>
            </w:pPr>
            <w:r w:rsidRPr="001A2FAD">
              <w:rPr>
                <w:rFonts w:ascii="Times New Roman" w:hAnsi="Times New Roman" w:cs="Times New Roman"/>
                <w:bCs/>
              </w:rPr>
              <w:t>Average Yield</w:t>
            </w:r>
          </w:p>
        </w:tc>
        <w:tc>
          <w:tcPr>
            <w:tcW w:w="2344" w:type="dxa"/>
            <w:shd w:val="clear" w:color="auto" w:fill="auto"/>
            <w:vAlign w:val="center"/>
            <w:hideMark/>
          </w:tcPr>
          <w:p w14:paraId="21066CBC"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t ha⁻¹</w:t>
            </w:r>
          </w:p>
        </w:tc>
        <w:tc>
          <w:tcPr>
            <w:tcW w:w="1736" w:type="dxa"/>
            <w:shd w:val="clear" w:color="auto" w:fill="auto"/>
            <w:vAlign w:val="center"/>
            <w:hideMark/>
          </w:tcPr>
          <w:p w14:paraId="0E86394C"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28</w:t>
            </w:r>
          </w:p>
        </w:tc>
      </w:tr>
      <w:tr w:rsidR="009F1035" w:rsidRPr="001A2FAD" w14:paraId="5FE00C72" w14:textId="77777777" w:rsidTr="00F27B21">
        <w:trPr>
          <w:trHeight w:val="295"/>
        </w:trPr>
        <w:tc>
          <w:tcPr>
            <w:tcW w:w="4992" w:type="dxa"/>
            <w:shd w:val="clear" w:color="auto" w:fill="auto"/>
            <w:vAlign w:val="center"/>
            <w:hideMark/>
          </w:tcPr>
          <w:p w14:paraId="0EBA8242" w14:textId="77777777" w:rsidR="009F1035" w:rsidRPr="001A2FAD" w:rsidRDefault="009F1035" w:rsidP="001A2FAD">
            <w:pPr>
              <w:spacing w:line="240" w:lineRule="auto"/>
              <w:jc w:val="both"/>
              <w:rPr>
                <w:rFonts w:ascii="Times New Roman" w:hAnsi="Times New Roman" w:cs="Times New Roman"/>
                <w:bCs/>
              </w:rPr>
            </w:pPr>
            <w:r w:rsidRPr="001A2FAD">
              <w:rPr>
                <w:rFonts w:ascii="Times New Roman" w:hAnsi="Times New Roman" w:cs="Times New Roman"/>
                <w:bCs/>
              </w:rPr>
              <w:t>Farm-Gate Selling Price</w:t>
            </w:r>
          </w:p>
        </w:tc>
        <w:tc>
          <w:tcPr>
            <w:tcW w:w="2344" w:type="dxa"/>
            <w:shd w:val="clear" w:color="auto" w:fill="auto"/>
            <w:vAlign w:val="center"/>
            <w:hideMark/>
          </w:tcPr>
          <w:p w14:paraId="2423E65C"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ETB kg⁻¹</w:t>
            </w:r>
          </w:p>
        </w:tc>
        <w:tc>
          <w:tcPr>
            <w:tcW w:w="1736" w:type="dxa"/>
            <w:shd w:val="clear" w:color="auto" w:fill="auto"/>
            <w:vAlign w:val="center"/>
            <w:hideMark/>
          </w:tcPr>
          <w:p w14:paraId="10491CBC"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40</w:t>
            </w:r>
          </w:p>
        </w:tc>
      </w:tr>
      <w:tr w:rsidR="009F1035" w:rsidRPr="001A2FAD" w14:paraId="326227AB" w14:textId="77777777" w:rsidTr="00F27B21">
        <w:trPr>
          <w:trHeight w:val="295"/>
        </w:trPr>
        <w:tc>
          <w:tcPr>
            <w:tcW w:w="4992" w:type="dxa"/>
            <w:shd w:val="clear" w:color="auto" w:fill="auto"/>
            <w:vAlign w:val="center"/>
            <w:hideMark/>
          </w:tcPr>
          <w:p w14:paraId="314A5B70" w14:textId="77777777" w:rsidR="009F1035" w:rsidRPr="001A2FAD" w:rsidRDefault="009F1035" w:rsidP="001A2FAD">
            <w:pPr>
              <w:spacing w:line="240" w:lineRule="auto"/>
              <w:jc w:val="both"/>
              <w:rPr>
                <w:rFonts w:ascii="Times New Roman" w:hAnsi="Times New Roman" w:cs="Times New Roman"/>
                <w:bCs/>
              </w:rPr>
            </w:pPr>
            <w:r w:rsidRPr="001A2FAD">
              <w:rPr>
                <w:rFonts w:ascii="Times New Roman" w:hAnsi="Times New Roman" w:cs="Times New Roman"/>
                <w:bCs/>
              </w:rPr>
              <w:t>Gross Revenue (Gross Return)</w:t>
            </w:r>
          </w:p>
        </w:tc>
        <w:tc>
          <w:tcPr>
            <w:tcW w:w="2344" w:type="dxa"/>
            <w:shd w:val="clear" w:color="auto" w:fill="auto"/>
            <w:vAlign w:val="center"/>
            <w:hideMark/>
          </w:tcPr>
          <w:p w14:paraId="0CA2B25B"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ETB ha⁻¹</w:t>
            </w:r>
          </w:p>
        </w:tc>
        <w:tc>
          <w:tcPr>
            <w:tcW w:w="1736" w:type="dxa"/>
            <w:shd w:val="clear" w:color="auto" w:fill="auto"/>
            <w:vAlign w:val="center"/>
            <w:hideMark/>
          </w:tcPr>
          <w:p w14:paraId="58A0F84B"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1,120,000</w:t>
            </w:r>
          </w:p>
        </w:tc>
      </w:tr>
      <w:tr w:rsidR="009F1035" w:rsidRPr="001A2FAD" w14:paraId="31010FDF" w14:textId="77777777" w:rsidTr="00F27B21">
        <w:trPr>
          <w:trHeight w:val="295"/>
        </w:trPr>
        <w:tc>
          <w:tcPr>
            <w:tcW w:w="4992" w:type="dxa"/>
            <w:shd w:val="clear" w:color="auto" w:fill="auto"/>
            <w:vAlign w:val="center"/>
            <w:hideMark/>
          </w:tcPr>
          <w:p w14:paraId="7A989D77" w14:textId="77777777" w:rsidR="009F1035" w:rsidRPr="001A2FAD" w:rsidRDefault="009F1035" w:rsidP="001A2FAD">
            <w:pPr>
              <w:spacing w:line="240" w:lineRule="auto"/>
              <w:jc w:val="both"/>
              <w:rPr>
                <w:rFonts w:ascii="Times New Roman" w:hAnsi="Times New Roman" w:cs="Times New Roman"/>
                <w:bCs/>
              </w:rPr>
            </w:pPr>
            <w:r w:rsidRPr="001A2FAD">
              <w:rPr>
                <w:rFonts w:ascii="Times New Roman" w:hAnsi="Times New Roman" w:cs="Times New Roman"/>
                <w:bCs/>
              </w:rPr>
              <w:t>Total Variable Cost (TVC)</w:t>
            </w:r>
          </w:p>
        </w:tc>
        <w:tc>
          <w:tcPr>
            <w:tcW w:w="2344" w:type="dxa"/>
            <w:shd w:val="clear" w:color="auto" w:fill="auto"/>
            <w:vAlign w:val="center"/>
            <w:hideMark/>
          </w:tcPr>
          <w:p w14:paraId="4BDDCFF9"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ETB ha⁻¹</w:t>
            </w:r>
          </w:p>
        </w:tc>
        <w:tc>
          <w:tcPr>
            <w:tcW w:w="1736" w:type="dxa"/>
            <w:shd w:val="clear" w:color="auto" w:fill="auto"/>
            <w:vAlign w:val="center"/>
            <w:hideMark/>
          </w:tcPr>
          <w:p w14:paraId="1780531C"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646,880</w:t>
            </w:r>
          </w:p>
        </w:tc>
      </w:tr>
      <w:tr w:rsidR="009F1035" w:rsidRPr="001A2FAD" w14:paraId="230A9917" w14:textId="77777777" w:rsidTr="00F27B21">
        <w:trPr>
          <w:trHeight w:val="295"/>
        </w:trPr>
        <w:tc>
          <w:tcPr>
            <w:tcW w:w="4992" w:type="dxa"/>
            <w:shd w:val="clear" w:color="auto" w:fill="auto"/>
            <w:vAlign w:val="center"/>
            <w:hideMark/>
          </w:tcPr>
          <w:p w14:paraId="10CAA86B" w14:textId="77777777" w:rsidR="009F1035" w:rsidRPr="001A2FAD" w:rsidRDefault="009F1035" w:rsidP="001A2FAD">
            <w:pPr>
              <w:spacing w:line="240" w:lineRule="auto"/>
              <w:jc w:val="both"/>
              <w:rPr>
                <w:rFonts w:ascii="Times New Roman" w:hAnsi="Times New Roman" w:cs="Times New Roman"/>
                <w:bCs/>
              </w:rPr>
            </w:pPr>
            <w:r w:rsidRPr="001A2FAD">
              <w:rPr>
                <w:rFonts w:ascii="Times New Roman" w:hAnsi="Times New Roman" w:cs="Times New Roman"/>
                <w:bCs/>
              </w:rPr>
              <w:t>Gross Margin</w:t>
            </w:r>
          </w:p>
        </w:tc>
        <w:tc>
          <w:tcPr>
            <w:tcW w:w="2344" w:type="dxa"/>
            <w:shd w:val="clear" w:color="auto" w:fill="auto"/>
            <w:vAlign w:val="center"/>
            <w:hideMark/>
          </w:tcPr>
          <w:p w14:paraId="49ABD282"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ETB ha⁻¹</w:t>
            </w:r>
          </w:p>
        </w:tc>
        <w:tc>
          <w:tcPr>
            <w:tcW w:w="1736" w:type="dxa"/>
            <w:shd w:val="clear" w:color="auto" w:fill="auto"/>
            <w:vAlign w:val="center"/>
            <w:hideMark/>
          </w:tcPr>
          <w:p w14:paraId="5FB7A38F"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473,120</w:t>
            </w:r>
          </w:p>
        </w:tc>
      </w:tr>
      <w:tr w:rsidR="009F1035" w:rsidRPr="001A2FAD" w14:paraId="39B06221" w14:textId="77777777" w:rsidTr="00F27B21">
        <w:trPr>
          <w:trHeight w:val="295"/>
        </w:trPr>
        <w:tc>
          <w:tcPr>
            <w:tcW w:w="4992" w:type="dxa"/>
            <w:shd w:val="clear" w:color="auto" w:fill="auto"/>
            <w:vAlign w:val="center"/>
            <w:hideMark/>
          </w:tcPr>
          <w:p w14:paraId="689FCFA9" w14:textId="77777777" w:rsidR="009F1035" w:rsidRPr="001A2FAD" w:rsidRDefault="009F1035" w:rsidP="001A2FAD">
            <w:pPr>
              <w:spacing w:line="240" w:lineRule="auto"/>
              <w:jc w:val="both"/>
              <w:rPr>
                <w:rFonts w:ascii="Times New Roman" w:hAnsi="Times New Roman" w:cs="Times New Roman"/>
                <w:bCs/>
              </w:rPr>
            </w:pPr>
            <w:r w:rsidRPr="001A2FAD">
              <w:rPr>
                <w:rFonts w:ascii="Times New Roman" w:hAnsi="Times New Roman" w:cs="Times New Roman"/>
                <w:bCs/>
              </w:rPr>
              <w:t>Net Return (Net Profit)</w:t>
            </w:r>
          </w:p>
        </w:tc>
        <w:tc>
          <w:tcPr>
            <w:tcW w:w="2344" w:type="dxa"/>
            <w:shd w:val="clear" w:color="auto" w:fill="auto"/>
            <w:vAlign w:val="center"/>
            <w:hideMark/>
          </w:tcPr>
          <w:p w14:paraId="55EE6B19"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ETB ha⁻¹</w:t>
            </w:r>
          </w:p>
        </w:tc>
        <w:tc>
          <w:tcPr>
            <w:tcW w:w="1736" w:type="dxa"/>
            <w:shd w:val="clear" w:color="auto" w:fill="auto"/>
            <w:vAlign w:val="center"/>
            <w:hideMark/>
          </w:tcPr>
          <w:p w14:paraId="368F7CB8"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473,120</w:t>
            </w:r>
          </w:p>
        </w:tc>
      </w:tr>
      <w:tr w:rsidR="009F1035" w:rsidRPr="001A2FAD" w14:paraId="44380480" w14:textId="77777777" w:rsidTr="00F27B21">
        <w:trPr>
          <w:trHeight w:val="295"/>
        </w:trPr>
        <w:tc>
          <w:tcPr>
            <w:tcW w:w="4992" w:type="dxa"/>
            <w:shd w:val="clear" w:color="auto" w:fill="auto"/>
            <w:vAlign w:val="center"/>
            <w:hideMark/>
          </w:tcPr>
          <w:p w14:paraId="3EB16A2C" w14:textId="77777777" w:rsidR="009F1035" w:rsidRPr="001A2FAD" w:rsidRDefault="009F1035" w:rsidP="001A2FAD">
            <w:pPr>
              <w:spacing w:line="240" w:lineRule="auto"/>
              <w:jc w:val="both"/>
              <w:rPr>
                <w:rFonts w:ascii="Times New Roman" w:hAnsi="Times New Roman" w:cs="Times New Roman"/>
                <w:bCs/>
              </w:rPr>
            </w:pPr>
            <w:r w:rsidRPr="001A2FAD">
              <w:rPr>
                <w:rFonts w:ascii="Times New Roman" w:hAnsi="Times New Roman" w:cs="Times New Roman"/>
                <w:bCs/>
              </w:rPr>
              <w:t>Production Cost per Kilogram</w:t>
            </w:r>
          </w:p>
        </w:tc>
        <w:tc>
          <w:tcPr>
            <w:tcW w:w="2344" w:type="dxa"/>
            <w:shd w:val="clear" w:color="auto" w:fill="auto"/>
            <w:vAlign w:val="center"/>
            <w:hideMark/>
          </w:tcPr>
          <w:p w14:paraId="37430030"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ETB kg⁻¹</w:t>
            </w:r>
          </w:p>
        </w:tc>
        <w:tc>
          <w:tcPr>
            <w:tcW w:w="1736" w:type="dxa"/>
            <w:shd w:val="clear" w:color="auto" w:fill="auto"/>
            <w:vAlign w:val="center"/>
            <w:hideMark/>
          </w:tcPr>
          <w:p w14:paraId="206B01FD"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23.1</w:t>
            </w:r>
          </w:p>
        </w:tc>
      </w:tr>
      <w:tr w:rsidR="009F1035" w:rsidRPr="001A2FAD" w14:paraId="1C772157" w14:textId="77777777" w:rsidTr="00F27B21">
        <w:trPr>
          <w:trHeight w:val="295"/>
        </w:trPr>
        <w:tc>
          <w:tcPr>
            <w:tcW w:w="4992" w:type="dxa"/>
            <w:shd w:val="clear" w:color="auto" w:fill="auto"/>
            <w:vAlign w:val="center"/>
            <w:hideMark/>
          </w:tcPr>
          <w:p w14:paraId="3411882E" w14:textId="77777777" w:rsidR="009F1035" w:rsidRPr="001A2FAD" w:rsidRDefault="009F1035" w:rsidP="001A2FAD">
            <w:pPr>
              <w:spacing w:line="240" w:lineRule="auto"/>
              <w:jc w:val="both"/>
              <w:rPr>
                <w:rFonts w:ascii="Times New Roman" w:hAnsi="Times New Roman" w:cs="Times New Roman"/>
                <w:bCs/>
              </w:rPr>
            </w:pPr>
            <w:r w:rsidRPr="001A2FAD">
              <w:rPr>
                <w:rFonts w:ascii="Times New Roman" w:hAnsi="Times New Roman" w:cs="Times New Roman"/>
                <w:bCs/>
              </w:rPr>
              <w:t>Gross Return per Birr Invested</w:t>
            </w:r>
          </w:p>
        </w:tc>
        <w:tc>
          <w:tcPr>
            <w:tcW w:w="2344" w:type="dxa"/>
            <w:shd w:val="clear" w:color="auto" w:fill="auto"/>
            <w:vAlign w:val="center"/>
            <w:hideMark/>
          </w:tcPr>
          <w:p w14:paraId="1FA212D9"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ETB ETB⁻¹</w:t>
            </w:r>
          </w:p>
        </w:tc>
        <w:tc>
          <w:tcPr>
            <w:tcW w:w="1736" w:type="dxa"/>
            <w:shd w:val="clear" w:color="auto" w:fill="auto"/>
            <w:vAlign w:val="center"/>
            <w:hideMark/>
          </w:tcPr>
          <w:p w14:paraId="27B9C2E9"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1.73</w:t>
            </w:r>
          </w:p>
        </w:tc>
      </w:tr>
      <w:tr w:rsidR="009F1035" w:rsidRPr="001A2FAD" w14:paraId="72EAF364" w14:textId="77777777" w:rsidTr="00F27B21">
        <w:trPr>
          <w:trHeight w:val="295"/>
        </w:trPr>
        <w:tc>
          <w:tcPr>
            <w:tcW w:w="4992" w:type="dxa"/>
            <w:shd w:val="clear" w:color="auto" w:fill="auto"/>
            <w:vAlign w:val="center"/>
            <w:hideMark/>
          </w:tcPr>
          <w:p w14:paraId="2146BF07" w14:textId="77777777" w:rsidR="009F1035" w:rsidRPr="001A2FAD" w:rsidRDefault="009F1035" w:rsidP="001A2FAD">
            <w:pPr>
              <w:spacing w:line="240" w:lineRule="auto"/>
              <w:jc w:val="both"/>
              <w:rPr>
                <w:rFonts w:ascii="Times New Roman" w:hAnsi="Times New Roman" w:cs="Times New Roman"/>
                <w:bCs/>
              </w:rPr>
            </w:pPr>
            <w:r w:rsidRPr="001A2FAD">
              <w:rPr>
                <w:rFonts w:ascii="Times New Roman" w:hAnsi="Times New Roman" w:cs="Times New Roman"/>
                <w:bCs/>
              </w:rPr>
              <w:t>Benefit-Cost Ratio (BCR)</w:t>
            </w:r>
          </w:p>
        </w:tc>
        <w:tc>
          <w:tcPr>
            <w:tcW w:w="2344" w:type="dxa"/>
            <w:shd w:val="clear" w:color="auto" w:fill="auto"/>
            <w:vAlign w:val="center"/>
            <w:hideMark/>
          </w:tcPr>
          <w:p w14:paraId="321B40C4"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Ratio</w:t>
            </w:r>
          </w:p>
        </w:tc>
        <w:tc>
          <w:tcPr>
            <w:tcW w:w="1736" w:type="dxa"/>
            <w:shd w:val="clear" w:color="auto" w:fill="auto"/>
            <w:vAlign w:val="center"/>
            <w:hideMark/>
          </w:tcPr>
          <w:p w14:paraId="5A907525"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1.73</w:t>
            </w:r>
          </w:p>
        </w:tc>
      </w:tr>
      <w:tr w:rsidR="009F1035" w:rsidRPr="001A2FAD" w14:paraId="17FAEAF2" w14:textId="77777777" w:rsidTr="00F27B21">
        <w:trPr>
          <w:trHeight w:val="295"/>
        </w:trPr>
        <w:tc>
          <w:tcPr>
            <w:tcW w:w="4992" w:type="dxa"/>
            <w:shd w:val="clear" w:color="auto" w:fill="auto"/>
            <w:vAlign w:val="center"/>
            <w:hideMark/>
          </w:tcPr>
          <w:p w14:paraId="3A883332" w14:textId="77777777" w:rsidR="009F1035" w:rsidRPr="001A2FAD" w:rsidRDefault="009F1035" w:rsidP="001A2FAD">
            <w:pPr>
              <w:spacing w:line="240" w:lineRule="auto"/>
              <w:jc w:val="both"/>
              <w:rPr>
                <w:rFonts w:ascii="Times New Roman" w:hAnsi="Times New Roman" w:cs="Times New Roman"/>
                <w:bCs/>
              </w:rPr>
            </w:pPr>
            <w:r w:rsidRPr="001A2FAD">
              <w:rPr>
                <w:rFonts w:ascii="Times New Roman" w:hAnsi="Times New Roman" w:cs="Times New Roman"/>
                <w:bCs/>
              </w:rPr>
              <w:t>Profit Margin</w:t>
            </w:r>
          </w:p>
        </w:tc>
        <w:tc>
          <w:tcPr>
            <w:tcW w:w="2344" w:type="dxa"/>
            <w:shd w:val="clear" w:color="auto" w:fill="auto"/>
            <w:vAlign w:val="center"/>
            <w:hideMark/>
          </w:tcPr>
          <w:p w14:paraId="1620E659"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w:t>
            </w:r>
          </w:p>
        </w:tc>
        <w:tc>
          <w:tcPr>
            <w:tcW w:w="1736" w:type="dxa"/>
            <w:shd w:val="clear" w:color="auto" w:fill="auto"/>
            <w:vAlign w:val="center"/>
            <w:hideMark/>
          </w:tcPr>
          <w:p w14:paraId="0731AE5D"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42.24</w:t>
            </w:r>
          </w:p>
        </w:tc>
      </w:tr>
      <w:tr w:rsidR="009F1035" w:rsidRPr="001A2FAD" w14:paraId="4FB02E7B" w14:textId="77777777" w:rsidTr="00F27B21">
        <w:trPr>
          <w:trHeight w:val="295"/>
        </w:trPr>
        <w:tc>
          <w:tcPr>
            <w:tcW w:w="4992" w:type="dxa"/>
            <w:tcBorders>
              <w:bottom w:val="single" w:sz="4" w:space="0" w:color="auto"/>
            </w:tcBorders>
            <w:shd w:val="clear" w:color="auto" w:fill="auto"/>
            <w:vAlign w:val="center"/>
            <w:hideMark/>
          </w:tcPr>
          <w:p w14:paraId="1014127E" w14:textId="77777777" w:rsidR="009F1035" w:rsidRPr="001A2FAD" w:rsidRDefault="009F1035" w:rsidP="001A2FAD">
            <w:pPr>
              <w:spacing w:line="240" w:lineRule="auto"/>
              <w:jc w:val="both"/>
              <w:rPr>
                <w:rFonts w:ascii="Times New Roman" w:hAnsi="Times New Roman" w:cs="Times New Roman"/>
                <w:bCs/>
              </w:rPr>
            </w:pPr>
            <w:r w:rsidRPr="001A2FAD">
              <w:rPr>
                <w:rFonts w:ascii="Times New Roman" w:hAnsi="Times New Roman" w:cs="Times New Roman"/>
                <w:bCs/>
              </w:rPr>
              <w:lastRenderedPageBreak/>
              <w:t>Labor Productivity</w:t>
            </w:r>
          </w:p>
        </w:tc>
        <w:tc>
          <w:tcPr>
            <w:tcW w:w="2344" w:type="dxa"/>
            <w:tcBorders>
              <w:bottom w:val="single" w:sz="4" w:space="0" w:color="auto"/>
            </w:tcBorders>
            <w:shd w:val="clear" w:color="auto" w:fill="auto"/>
            <w:vAlign w:val="center"/>
            <w:hideMark/>
          </w:tcPr>
          <w:p w14:paraId="6D1637AC" w14:textId="03F57BC3"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 xml:space="preserve">ETB </w:t>
            </w:r>
            <w:r w:rsidR="0098404B" w:rsidRPr="001A2FAD">
              <w:rPr>
                <w:rFonts w:ascii="Times New Roman" w:hAnsi="Times New Roman" w:cs="Times New Roman"/>
                <w:bCs/>
              </w:rPr>
              <w:t>Labor Day</w:t>
            </w:r>
            <w:r w:rsidRPr="001A2FAD">
              <w:rPr>
                <w:rFonts w:ascii="Times New Roman" w:hAnsi="Times New Roman" w:cs="Times New Roman"/>
                <w:bCs/>
              </w:rPr>
              <w:t>⁻¹</w:t>
            </w:r>
          </w:p>
        </w:tc>
        <w:tc>
          <w:tcPr>
            <w:tcW w:w="1736" w:type="dxa"/>
            <w:tcBorders>
              <w:bottom w:val="single" w:sz="4" w:space="0" w:color="auto"/>
            </w:tcBorders>
            <w:shd w:val="clear" w:color="auto" w:fill="auto"/>
            <w:vAlign w:val="center"/>
            <w:hideMark/>
          </w:tcPr>
          <w:p w14:paraId="0862C1C4" w14:textId="77777777" w:rsidR="009F1035" w:rsidRPr="001A2FAD" w:rsidRDefault="009F1035" w:rsidP="00F27B21">
            <w:pPr>
              <w:spacing w:line="240" w:lineRule="auto"/>
              <w:jc w:val="center"/>
              <w:rPr>
                <w:rFonts w:ascii="Times New Roman" w:hAnsi="Times New Roman" w:cs="Times New Roman"/>
                <w:bCs/>
              </w:rPr>
            </w:pPr>
            <w:r w:rsidRPr="001A2FAD">
              <w:rPr>
                <w:rFonts w:ascii="Times New Roman" w:hAnsi="Times New Roman" w:cs="Times New Roman"/>
                <w:bCs/>
              </w:rPr>
              <w:t>250</w:t>
            </w:r>
          </w:p>
        </w:tc>
      </w:tr>
    </w:tbl>
    <w:p w14:paraId="04D55D8F" w14:textId="77777777" w:rsidR="009F1035" w:rsidRPr="001A2FAD" w:rsidRDefault="009F1035" w:rsidP="001A2FAD">
      <w:pPr>
        <w:spacing w:line="360" w:lineRule="auto"/>
        <w:jc w:val="both"/>
        <w:rPr>
          <w:rFonts w:ascii="Times New Roman" w:hAnsi="Times New Roman" w:cs="Times New Roman"/>
        </w:rPr>
      </w:pPr>
    </w:p>
    <w:p w14:paraId="18C4B235" w14:textId="49BB094B" w:rsidR="007B4280" w:rsidRDefault="007B4280" w:rsidP="0030271E">
      <w:pPr>
        <w:pStyle w:val="Heading2"/>
        <w:numPr>
          <w:ilvl w:val="1"/>
          <w:numId w:val="1"/>
        </w:numPr>
        <w:jc w:val="both"/>
        <w:rPr>
          <w:rFonts w:cs="Times New Roman"/>
          <w:szCs w:val="24"/>
        </w:rPr>
      </w:pPr>
      <w:r w:rsidRPr="00923761">
        <w:t>Economic</w:t>
      </w:r>
      <w:r w:rsidRPr="001A2FAD">
        <w:rPr>
          <w:rFonts w:cs="Times New Roman"/>
          <w:szCs w:val="24"/>
        </w:rPr>
        <w:t xml:space="preserve"> Feasibility and Investment Attractiveness of Onion Production</w:t>
      </w:r>
    </w:p>
    <w:p w14:paraId="592EFFE1" w14:textId="77777777" w:rsidR="00AA471D" w:rsidRPr="00AA471D" w:rsidRDefault="00AA471D" w:rsidP="00AA471D">
      <w:pPr>
        <w:spacing w:line="360" w:lineRule="auto"/>
        <w:jc w:val="both"/>
        <w:rPr>
          <w:rFonts w:ascii="Times New Roman" w:hAnsi="Times New Roman" w:cs="Times New Roman"/>
        </w:rPr>
      </w:pPr>
      <w:r w:rsidRPr="00AA471D">
        <w:rPr>
          <w:rFonts w:ascii="Times New Roman" w:hAnsi="Times New Roman" w:cs="Times New Roman"/>
        </w:rPr>
        <w:t>The economic feasibility analysis provides a comprehensive assessment of the financial viability, risk-bearing capacity, and investment attractiveness of onion production under irrigated conditions. The results indicate that onion production is not only profitable but also economically resilient and attractive for both smallholder farmers and potential agricultural investors.</w:t>
      </w:r>
    </w:p>
    <w:p w14:paraId="6BCBFA3B" w14:textId="77777777" w:rsidR="00C5391D" w:rsidRPr="001A2FAD" w:rsidRDefault="00C5391D" w:rsidP="0030271E">
      <w:pPr>
        <w:pStyle w:val="Heading3"/>
        <w:numPr>
          <w:ilvl w:val="2"/>
          <w:numId w:val="1"/>
        </w:numPr>
        <w:jc w:val="both"/>
        <w:rPr>
          <w:rFonts w:cs="Times New Roman"/>
          <w:szCs w:val="24"/>
        </w:rPr>
      </w:pPr>
      <w:r w:rsidRPr="001A2FAD">
        <w:rPr>
          <w:rFonts w:cs="Times New Roman"/>
          <w:szCs w:val="24"/>
        </w:rPr>
        <w:t>Input-Output Ratio</w:t>
      </w:r>
    </w:p>
    <w:p w14:paraId="5FEF86A4" w14:textId="6DC68FFD" w:rsidR="00C5391D" w:rsidRPr="001A2FAD" w:rsidRDefault="00C5391D" w:rsidP="001A2FAD">
      <w:pPr>
        <w:spacing w:line="360" w:lineRule="auto"/>
        <w:jc w:val="both"/>
        <w:rPr>
          <w:rFonts w:ascii="Times New Roman" w:hAnsi="Times New Roman" w:cs="Times New Roman"/>
        </w:rPr>
      </w:pPr>
      <w:bookmarkStart w:id="16" w:name="_Hlk185012490"/>
      <w:bookmarkEnd w:id="12"/>
      <w:r w:rsidRPr="00AC2699">
        <w:rPr>
          <w:rFonts w:ascii="Times New Roman" w:hAnsi="Times New Roman" w:cs="Times New Roman"/>
        </w:rPr>
        <w:t xml:space="preserve">The input-output ratio of </w:t>
      </w:r>
      <w:r w:rsidR="0034463E" w:rsidRPr="00AC2699">
        <w:rPr>
          <w:rFonts w:ascii="Times New Roman" w:hAnsi="Times New Roman" w:cs="Times New Roman"/>
        </w:rPr>
        <w:t>1</w:t>
      </w:r>
      <w:r w:rsidRPr="00AC2699">
        <w:rPr>
          <w:rFonts w:ascii="Times New Roman" w:hAnsi="Times New Roman" w:cs="Times New Roman"/>
        </w:rPr>
        <w:t>.</w:t>
      </w:r>
      <w:r w:rsidR="0034463E" w:rsidRPr="00AC2699">
        <w:rPr>
          <w:rFonts w:ascii="Times New Roman" w:hAnsi="Times New Roman" w:cs="Times New Roman"/>
        </w:rPr>
        <w:t>73</w:t>
      </w:r>
      <w:r w:rsidRPr="00AC2699">
        <w:rPr>
          <w:rFonts w:ascii="Times New Roman" w:hAnsi="Times New Roman" w:cs="Times New Roman"/>
        </w:rPr>
        <w:t xml:space="preserve"> indicates that for every 1 ETB invested in production, </w:t>
      </w:r>
      <w:r w:rsidR="00762352" w:rsidRPr="00AC2699">
        <w:rPr>
          <w:rFonts w:ascii="Times New Roman" w:hAnsi="Times New Roman" w:cs="Times New Roman"/>
        </w:rPr>
        <w:t>producers</w:t>
      </w:r>
      <w:r w:rsidRPr="00AC2699">
        <w:rPr>
          <w:rFonts w:ascii="Times New Roman" w:hAnsi="Times New Roman" w:cs="Times New Roman"/>
        </w:rPr>
        <w:t xml:space="preserve"> generate </w:t>
      </w:r>
      <w:r w:rsidR="00417A53" w:rsidRPr="00AC2699">
        <w:rPr>
          <w:rFonts w:ascii="Times New Roman" w:hAnsi="Times New Roman" w:cs="Times New Roman"/>
        </w:rPr>
        <w:t>1</w:t>
      </w:r>
      <w:r w:rsidRPr="00AC2699">
        <w:rPr>
          <w:rFonts w:ascii="Times New Roman" w:hAnsi="Times New Roman" w:cs="Times New Roman"/>
        </w:rPr>
        <w:t>.</w:t>
      </w:r>
      <w:r w:rsidR="00417A53" w:rsidRPr="00AC2699">
        <w:rPr>
          <w:rFonts w:ascii="Times New Roman" w:hAnsi="Times New Roman" w:cs="Times New Roman"/>
        </w:rPr>
        <w:t>73</w:t>
      </w:r>
      <w:r w:rsidRPr="00AC2699">
        <w:rPr>
          <w:rFonts w:ascii="Times New Roman" w:hAnsi="Times New Roman" w:cs="Times New Roman"/>
        </w:rPr>
        <w:t xml:space="preserve"> ETB</w:t>
      </w:r>
      <w:r w:rsidR="00417A53" w:rsidRPr="00AC2699">
        <w:rPr>
          <w:rFonts w:ascii="Times New Roman" w:hAnsi="Times New Roman" w:cs="Times New Roman"/>
        </w:rPr>
        <w:t xml:space="preserve"> ha -1</w:t>
      </w:r>
      <w:r w:rsidRPr="00AC2699">
        <w:rPr>
          <w:rFonts w:ascii="Times New Roman" w:hAnsi="Times New Roman" w:cs="Times New Roman"/>
        </w:rPr>
        <w:t xml:space="preserve"> in returns. This ratio highlights the high efficiency of resource utilization in onion farming, reflecting the effective deployment of land, labor, and inputs to maximize economic returns.</w:t>
      </w:r>
      <w:r w:rsidR="00417A53">
        <w:rPr>
          <w:rFonts w:ascii="Times New Roman" w:hAnsi="Times New Roman" w:cs="Times New Roman"/>
          <w:color w:val="FF0000"/>
        </w:rPr>
        <w:t xml:space="preserve"> </w:t>
      </w:r>
      <w:r w:rsidRPr="001A2FAD">
        <w:rPr>
          <w:rFonts w:ascii="Times New Roman" w:hAnsi="Times New Roman" w:cs="Times New Roman"/>
        </w:rPr>
        <w:t xml:space="preserve">A high input-output ratio signifies that production resources are being efficiently transformed into outputs, ensuring profitability and sustainability. Onion farming under irrigated conditions benefits from controlled water availability, reduced production risks, and the adoption of optimized farming practices, which collectively contribute to high productivity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&lt;EndNote&gt;&lt;Cite&gt;&lt;Author&gt;Khan&lt;/Author&gt;&lt;Year&gt;2023&lt;/Year&gt;&lt;RecNum&gt;66&lt;/RecNum&gt;&lt;DisplayText&gt;(Khan, Hassan, Shahriyar, &amp;amp; Computing, 2023)&lt;/DisplayText&gt;&lt;record&gt;&lt;rec-number&gt;66&lt;/rec-number&gt;&lt;foreign-keys&gt;&lt;key app="EN" db-id="x2savr2skzpztmesfatpfzd7x5rp5ze0d2df" timestamp="1739450589"&gt;66&lt;/key&gt;&lt;/foreign-keys&gt;&lt;ref-type name="Journal Article"&gt;17&lt;/ref-type&gt;&lt;contributors&gt;&lt;authors&gt;&lt;author&gt;Khan, Aisha&lt;/author&gt;&lt;author&gt;Hassan, Mohammad&lt;/author&gt;&lt;author&gt;Shahriyar, Abul Kashem %J Applied Research in Artificial Intelligence&lt;/author&gt;&lt;author&gt;Cloud Computing&lt;/author&gt;&lt;/authors&gt;&lt;/contributors&gt;&lt;titles&gt;&lt;title&gt;Optimizing onion crop management: a smart agriculture framework with IoT sensors and cloud technology&lt;/title&gt;&lt;/titles&gt;&lt;pages&gt;49-67&lt;/pages&gt;&lt;volume&gt;6&lt;/volume&gt;&lt;number&gt;1&lt;/number&gt;&lt;dates&gt;&lt;year&gt;2023&lt;/year&gt;&lt;/dates&gt;&lt;urls&gt;&lt;/urls&gt;&lt;/record&gt;&lt;/Cite&gt;&lt;/EndNote&gt;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(Khan, Hassan, Shahriyar, &amp; Computing, 2023)</w:t>
      </w:r>
      <w:r w:rsidRPr="001A2FAD">
        <w:rPr>
          <w:rFonts w:ascii="Times New Roman" w:hAnsi="Times New Roman" w:cs="Times New Roman"/>
        </w:rPr>
        <w:fldChar w:fldCharType="end"/>
      </w:r>
      <w:r w:rsidRPr="001A2FAD">
        <w:rPr>
          <w:rFonts w:ascii="Times New Roman" w:hAnsi="Times New Roman" w:cs="Times New Roman"/>
        </w:rPr>
        <w:t xml:space="preserve">. To sustain and further improve this level of efficiency, continued investment in irrigation systems and precision farming technologies is crucial. Policymakers and agricultural development programs should focus on promoting access to affordable inputs, including quality seeds, fertilizers, and pest management solutions, as well as providing support for irrigation infrastructure </w:t>
      </w:r>
      <w:r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&lt;EndNote&gt;&lt;Cite&gt;&lt;Author&gt;Namara&lt;/Author&gt;&lt;Year&gt;2010&lt;/Year&gt;&lt;RecNum&gt;67&lt;/RecNum&gt;&lt;DisplayText&gt;(Namara et al., 2010)&lt;/DisplayText&gt;&lt;record&gt;&lt;rec-number&gt;67&lt;/rec-number&gt;&lt;foreign-keys&gt;&lt;key app="EN" db-id="x2savr2skzpztmesfatpfzd7x5rp5ze0d2df" timestamp="1739450700"&gt;67&lt;/key&gt;&lt;/foreign-keys&gt;&lt;ref-type name="Journal Article"&gt;17&lt;/ref-type&gt;&lt;contributors&gt;&lt;authors&gt;&lt;author&gt;Namara, Regassa E&lt;/author&gt;&lt;author&gt;Hanjra, Munir A&lt;/author&gt;&lt;author&gt;Castillo, Gina E&lt;/author&gt;&lt;author&gt;Ravnborg, Helle Munk&lt;/author&gt;&lt;author&gt;Smith, Lawrence&lt;/author&gt;&lt;author&gt;Van Koppen, Barbara %J Agricultural water management&lt;/author&gt;&lt;/authors&gt;&lt;/contributors&gt;&lt;titles&gt;&lt;title&gt;Agricultural water management and poverty linkages&lt;/title&gt;&lt;/titles&gt;&lt;pages&gt;520-527&lt;/pages&gt;&lt;volume&gt;97&lt;/volume&gt;&lt;number&gt;4&lt;/number&gt;&lt;dates&gt;&lt;year&gt;2010&lt;/year&gt;&lt;/dates&gt;&lt;isbn&gt;0378-3774&lt;/isbn&gt;&lt;urls&gt;&lt;/urls&gt;&lt;electronic-resource-num&gt;https://doi.org/10.1016/j.agwat.2009.05.007&lt;/electronic-resource-num&gt;&lt;/record&gt;&lt;/Cite&gt;&lt;/EndNote&gt;</w:instrText>
      </w:r>
      <w:r w:rsidRPr="001A2FAD">
        <w:rPr>
          <w:rFonts w:ascii="Times New Roman" w:hAnsi="Times New Roman" w:cs="Times New Roman"/>
        </w:rPr>
        <w:fldChar w:fldCharType="separate"/>
      </w:r>
      <w:r w:rsidR="00064C6E">
        <w:rPr>
          <w:rFonts w:ascii="Times New Roman" w:hAnsi="Times New Roman" w:cs="Times New Roman"/>
          <w:noProof/>
        </w:rPr>
        <w:t>(Namara et al., 2010)</w:t>
      </w:r>
      <w:r w:rsidRPr="001A2FAD">
        <w:rPr>
          <w:rFonts w:ascii="Times New Roman" w:hAnsi="Times New Roman" w:cs="Times New Roman"/>
        </w:rPr>
        <w:fldChar w:fldCharType="end"/>
      </w:r>
      <w:r w:rsidRPr="001A2FAD">
        <w:rPr>
          <w:rFonts w:ascii="Times New Roman" w:hAnsi="Times New Roman" w:cs="Times New Roman"/>
        </w:rPr>
        <w:t xml:space="preserve">. </w:t>
      </w:r>
    </w:p>
    <w:p w14:paraId="030D2037" w14:textId="77777777" w:rsidR="00C5391D" w:rsidRPr="001A2FAD" w:rsidRDefault="00C5391D" w:rsidP="0030271E">
      <w:pPr>
        <w:pStyle w:val="Heading3"/>
        <w:numPr>
          <w:ilvl w:val="2"/>
          <w:numId w:val="1"/>
        </w:numPr>
        <w:jc w:val="both"/>
        <w:rPr>
          <w:rFonts w:cs="Times New Roman"/>
          <w:szCs w:val="24"/>
        </w:rPr>
      </w:pPr>
      <w:r w:rsidRPr="001A2FAD">
        <w:rPr>
          <w:rFonts w:cs="Times New Roman"/>
          <w:szCs w:val="24"/>
        </w:rPr>
        <w:t>Break-Even Yield</w:t>
      </w:r>
      <w:bookmarkEnd w:id="16"/>
    </w:p>
    <w:p w14:paraId="05CC8BE5" w14:textId="7A4028FE" w:rsidR="00C5391D" w:rsidRPr="001A2FAD" w:rsidRDefault="006547E2" w:rsidP="001A2FAD">
      <w:pPr>
        <w:spacing w:line="360" w:lineRule="auto"/>
        <w:jc w:val="both"/>
        <w:rPr>
          <w:rFonts w:ascii="Times New Roman" w:hAnsi="Times New Roman" w:cs="Times New Roman"/>
        </w:rPr>
      </w:pPr>
      <w:bookmarkStart w:id="17" w:name="_Hlk185012526"/>
      <w:r w:rsidRPr="006547E2">
        <w:rPr>
          <w:rFonts w:ascii="Times New Roman" w:hAnsi="Times New Roman" w:cs="Times New Roman"/>
        </w:rPr>
        <w:t xml:space="preserve">The </w:t>
      </w:r>
      <w:r w:rsidRPr="004E723F">
        <w:rPr>
          <w:rStyle w:val="Strong"/>
          <w:rFonts w:ascii="Times New Roman" w:hAnsi="Times New Roman" w:cs="Times New Roman"/>
          <w:b w:val="0"/>
        </w:rPr>
        <w:t>break-even yield was estimated at 16.17 t ha⁻¹</w:t>
      </w:r>
      <w:r w:rsidRPr="004E723F">
        <w:rPr>
          <w:rFonts w:ascii="Times New Roman" w:hAnsi="Times New Roman" w:cs="Times New Roman"/>
          <w:b/>
        </w:rPr>
        <w:t>,</w:t>
      </w:r>
      <w:r w:rsidRPr="006547E2">
        <w:rPr>
          <w:rFonts w:ascii="Times New Roman" w:hAnsi="Times New Roman" w:cs="Times New Roman"/>
        </w:rPr>
        <w:t xml:space="preserve"> meaning that producers must harvest at least 16.17 </w:t>
      </w:r>
      <w:r w:rsidR="004E723F">
        <w:rPr>
          <w:rFonts w:ascii="Times New Roman" w:hAnsi="Times New Roman" w:cs="Times New Roman"/>
        </w:rPr>
        <w:t>tonnes</w:t>
      </w:r>
      <w:r w:rsidRPr="006547E2">
        <w:rPr>
          <w:rFonts w:ascii="Times New Roman" w:hAnsi="Times New Roman" w:cs="Times New Roman"/>
        </w:rPr>
        <w:t xml:space="preserve"> of onion per hectare to cover all production costs without incurring losses. Since the actual average yield was </w:t>
      </w:r>
      <w:r w:rsidRPr="004E723F">
        <w:rPr>
          <w:rStyle w:val="Strong"/>
          <w:rFonts w:ascii="Times New Roman" w:hAnsi="Times New Roman" w:cs="Times New Roman"/>
          <w:b w:val="0"/>
        </w:rPr>
        <w:t>28 t ha⁻¹</w:t>
      </w:r>
      <w:r w:rsidRPr="004E723F">
        <w:rPr>
          <w:rFonts w:ascii="Times New Roman" w:hAnsi="Times New Roman" w:cs="Times New Roman"/>
          <w:b/>
        </w:rPr>
        <w:t>,</w:t>
      </w:r>
      <w:r w:rsidRPr="006547E2">
        <w:rPr>
          <w:rFonts w:ascii="Times New Roman" w:hAnsi="Times New Roman" w:cs="Times New Roman"/>
        </w:rPr>
        <w:t xml:space="preserve"> producers achieved approximately </w:t>
      </w:r>
      <w:r w:rsidRPr="004E723F">
        <w:rPr>
          <w:rStyle w:val="Strong"/>
          <w:rFonts w:ascii="Times New Roman" w:hAnsi="Times New Roman" w:cs="Times New Roman"/>
          <w:b w:val="0"/>
        </w:rPr>
        <w:t>73% higher yield than the break-even requirement</w:t>
      </w:r>
      <w:r w:rsidRPr="004E723F">
        <w:rPr>
          <w:rFonts w:ascii="Times New Roman" w:hAnsi="Times New Roman" w:cs="Times New Roman"/>
          <w:b/>
        </w:rPr>
        <w:t>.</w:t>
      </w:r>
      <w:r w:rsidRPr="006547E2">
        <w:rPr>
          <w:rFonts w:ascii="Times New Roman" w:hAnsi="Times New Roman" w:cs="Times New Roman"/>
        </w:rPr>
        <w:t xml:space="preserve"> This considerable difference indicates a strong production buffer and suggests that onion production can remain profitable even if yields decline due to unfavorable weather, pest infestations, or other production constraints.</w:t>
      </w:r>
      <w:r>
        <w:rPr>
          <w:rFonts w:ascii="Times New Roman" w:hAnsi="Times New Roman" w:cs="Times New Roman"/>
        </w:rPr>
        <w:t xml:space="preserve"> </w:t>
      </w:r>
      <w:r w:rsidR="00C5391D" w:rsidRPr="001A2FAD">
        <w:rPr>
          <w:rFonts w:ascii="Times New Roman" w:hAnsi="Times New Roman" w:cs="Times New Roman"/>
        </w:rPr>
        <w:t xml:space="preserve">As long as </w:t>
      </w:r>
      <w:r w:rsidR="00264030" w:rsidRPr="001A2FAD">
        <w:rPr>
          <w:rFonts w:ascii="Times New Roman" w:hAnsi="Times New Roman" w:cs="Times New Roman"/>
        </w:rPr>
        <w:t>producers</w:t>
      </w:r>
      <w:r w:rsidR="00C5391D" w:rsidRPr="001A2FAD">
        <w:rPr>
          <w:rFonts w:ascii="Times New Roman" w:hAnsi="Times New Roman" w:cs="Times New Roman"/>
        </w:rPr>
        <w:t xml:space="preserve"> achieve the break-even yield, they can cover their production costs and avoid financial losses, ensuring the sustainability of their farming operations </w:t>
      </w:r>
      <w:r w:rsidR="00C5391D"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&lt;EndNote&gt;&lt;Cite&gt;&lt;Author&gt;Atoyebi&lt;/Author&gt;&lt;Year&gt;2022&lt;/Year&gt;&lt;RecNum&gt;69&lt;/RecNum&gt;&lt;DisplayText&gt;(Atoyebi, Bello, &amp;amp; Owolarafe, 2022)&lt;/DisplayText&gt;&lt;record&gt;&lt;rec-number&gt;69&lt;/rec-number&gt;&lt;foreign-keys&gt;&lt;key app="EN" db-id="x2savr2skzpztmesfatpfzd7x5rp5ze0d2df" timestamp="1739450976"&gt;69&lt;/key&gt;&lt;/foreign-keys&gt;&lt;ref-type name="Journal Article"&gt;17&lt;/ref-type&gt;&lt;contributors&gt;&lt;authors&gt;&lt;author&gt;Atoyebi, Jelili Olaniyi&lt;/author&gt;&lt;author&gt;Bello, Sururah Apinke&lt;/author&gt;&lt;author&gt;Owolarafe, Oseni Kehinde %J Agricultural Engineering International: CIGR Journal&lt;/author&gt;&lt;/authors&gt;&lt;/contributors&gt;&lt;titles&gt;&lt;title&gt;A case-study approach to profitability assessment in fermented African locust beans (iru) production using break-even analysis&lt;/title&gt;&lt;/titles&gt;&lt;volume&gt;24&lt;/volume&gt;&lt;number&gt;1&lt;/number&gt;&lt;dates&gt;&lt;year&gt;2022&lt;/year&gt;&lt;/dates&gt;&lt;isbn&gt;1682-1130&lt;/isbn&gt;&lt;urls&gt;&lt;/urls&gt;&lt;/record&gt;&lt;/Cite&gt;&lt;/EndNote&gt;</w:instrText>
      </w:r>
      <w:r w:rsidR="00C5391D" w:rsidRPr="001A2FAD">
        <w:rPr>
          <w:rFonts w:ascii="Times New Roman" w:hAnsi="Times New Roman" w:cs="Times New Roman"/>
        </w:rPr>
        <w:fldChar w:fldCharType="separate"/>
      </w:r>
      <w:r w:rsidR="00064C6E">
        <w:rPr>
          <w:rFonts w:ascii="Times New Roman" w:hAnsi="Times New Roman" w:cs="Times New Roman"/>
          <w:noProof/>
        </w:rPr>
        <w:t>(Atoyebi, Bello, &amp; Owolarafe, 2022)</w:t>
      </w:r>
      <w:r w:rsidR="00C5391D" w:rsidRPr="001A2FAD">
        <w:rPr>
          <w:rFonts w:ascii="Times New Roman" w:hAnsi="Times New Roman" w:cs="Times New Roman"/>
        </w:rPr>
        <w:fldChar w:fldCharType="end"/>
      </w:r>
      <w:r w:rsidR="00C5391D" w:rsidRPr="001A2FAD">
        <w:rPr>
          <w:rFonts w:ascii="Times New Roman" w:hAnsi="Times New Roman" w:cs="Times New Roman"/>
        </w:rPr>
        <w:t>.</w:t>
      </w:r>
    </w:p>
    <w:p w14:paraId="3A980DF7" w14:textId="77777777" w:rsidR="00C5391D" w:rsidRPr="001A2FAD" w:rsidRDefault="00C5391D" w:rsidP="0030271E">
      <w:pPr>
        <w:pStyle w:val="Heading3"/>
        <w:numPr>
          <w:ilvl w:val="2"/>
          <w:numId w:val="1"/>
        </w:numPr>
        <w:jc w:val="both"/>
        <w:rPr>
          <w:rFonts w:cs="Times New Roman"/>
          <w:szCs w:val="24"/>
        </w:rPr>
      </w:pPr>
      <w:r w:rsidRPr="001A2FAD">
        <w:rPr>
          <w:rFonts w:cs="Times New Roman"/>
          <w:szCs w:val="24"/>
        </w:rPr>
        <w:lastRenderedPageBreak/>
        <w:t>Return on Investment (ROI)</w:t>
      </w:r>
    </w:p>
    <w:bookmarkEnd w:id="17"/>
    <w:p w14:paraId="34C6F38B" w14:textId="0DDF59CC" w:rsidR="00C5391D" w:rsidRDefault="00C74C4C" w:rsidP="001A2FAD">
      <w:pPr>
        <w:spacing w:line="360" w:lineRule="auto"/>
        <w:jc w:val="both"/>
        <w:rPr>
          <w:rFonts w:ascii="Times New Roman" w:hAnsi="Times New Roman" w:cs="Times New Roman"/>
        </w:rPr>
      </w:pPr>
      <w:r w:rsidRPr="00C74C4C">
        <w:rPr>
          <w:rFonts w:ascii="Times New Roman" w:hAnsi="Times New Roman" w:cs="Times New Roman"/>
        </w:rPr>
        <w:t xml:space="preserve">The </w:t>
      </w:r>
      <w:r w:rsidRPr="00C74C4C">
        <w:rPr>
          <w:rFonts w:ascii="Times New Roman" w:hAnsi="Times New Roman" w:cs="Times New Roman"/>
          <w:bCs/>
        </w:rPr>
        <w:t>Return on Investment (ROI) was 73.14%</w:t>
      </w:r>
      <w:r w:rsidRPr="00C74C4C">
        <w:rPr>
          <w:rFonts w:ascii="Times New Roman" w:hAnsi="Times New Roman" w:cs="Times New Roman"/>
        </w:rPr>
        <w:t>, implying that producers earned a profit equivalent to approximately 73% of their total investment. ROI is one of the most important indicators of investment performance because it measures the efficiency with which invested capital generates profits. An ROI exceeding 70% is considered highly attractive in agricultural enterprises, indicating that onion production offers substantial financial rewards relative to the capital employed. This high ROI enhances the competitiveness of onion production compared with many alternative agricultural investments.</w:t>
      </w:r>
      <w:r w:rsidR="002329B1">
        <w:rPr>
          <w:rFonts w:ascii="Times New Roman" w:hAnsi="Times New Roman" w:cs="Times New Roman"/>
        </w:rPr>
        <w:t xml:space="preserve"> </w:t>
      </w:r>
      <w:r w:rsidR="00C5391D" w:rsidRPr="001A2FAD">
        <w:rPr>
          <w:rFonts w:ascii="Times New Roman" w:hAnsi="Times New Roman" w:cs="Times New Roman"/>
        </w:rPr>
        <w:t xml:space="preserve">These variables can significantly affect profitability and need to be managed effectively to sustain high returns </w:t>
      </w:r>
      <w:r w:rsidR="00C5391D"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&lt;EndNote&gt;&lt;Cite&gt;&lt;Author&gt;Ailawadi&lt;/Author&gt;&lt;Year&gt;1999&lt;/Year&gt;&lt;RecNum&gt;72&lt;/RecNum&gt;&lt;DisplayText&gt;(Ailawadi, Farris, &amp;amp; Parry, 1999)&lt;/DisplayText&gt;&lt;record&gt;&lt;rec-number&gt;72&lt;/rec-number&gt;&lt;foreign-keys&gt;&lt;key app="EN" db-id="x2savr2skzpztmesfatpfzd7x5rp5ze0d2df" timestamp="1739451280"&gt;72&lt;/key&gt;&lt;/foreign-keys&gt;&lt;ref-type name="Journal Article"&gt;17&lt;/ref-type&gt;&lt;contributors&gt;&lt;authors&gt;&lt;author&gt;Ailawadi, Kusum L&lt;/author&gt;&lt;author&gt;Farris, Paul W&lt;/author&gt;&lt;author&gt;Parry, Mark E %J International Journal of Research in Marketing&lt;/author&gt;&lt;/authors&gt;&lt;/contributors&gt;&lt;titles&gt;&lt;title&gt;Market share and ROI: Observing the effect of unobserved variables&lt;/title&gt;&lt;/titles&gt;&lt;pages&gt;17-33&lt;/pages&gt;&lt;volume&gt;16&lt;/volume&gt;&lt;number&gt;1&lt;/number&gt;&lt;dates&gt;&lt;year&gt;1999&lt;/year&gt;&lt;/dates&gt;&lt;isbn&gt;0167-8116&lt;/isbn&gt;&lt;urls&gt;&lt;/urls&gt;&lt;electronic-resource-num&gt;https://doi.org/10.1016/S0167-8116(98)00012-3&lt;/electronic-resource-num&gt;&lt;/record&gt;&lt;/Cite&gt;&lt;/EndNote&gt;</w:instrText>
      </w:r>
      <w:r w:rsidR="00C5391D" w:rsidRPr="001A2FAD">
        <w:rPr>
          <w:rFonts w:ascii="Times New Roman" w:hAnsi="Times New Roman" w:cs="Times New Roman"/>
        </w:rPr>
        <w:fldChar w:fldCharType="separate"/>
      </w:r>
      <w:r w:rsidR="00064C6E">
        <w:rPr>
          <w:rFonts w:ascii="Times New Roman" w:hAnsi="Times New Roman" w:cs="Times New Roman"/>
          <w:noProof/>
        </w:rPr>
        <w:t>(Ailawadi, Farris, &amp; Parry, 1999)</w:t>
      </w:r>
      <w:r w:rsidR="00C5391D" w:rsidRPr="001A2FAD">
        <w:rPr>
          <w:rFonts w:ascii="Times New Roman" w:hAnsi="Times New Roman" w:cs="Times New Roman"/>
        </w:rPr>
        <w:fldChar w:fldCharType="end"/>
      </w:r>
      <w:r w:rsidR="00C5391D" w:rsidRPr="001A2FAD">
        <w:rPr>
          <w:rFonts w:ascii="Times New Roman" w:hAnsi="Times New Roman" w:cs="Times New Roman"/>
        </w:rPr>
        <w:t>.</w:t>
      </w:r>
      <w:r w:rsidR="002329B1">
        <w:rPr>
          <w:rFonts w:ascii="Times New Roman" w:hAnsi="Times New Roman" w:cs="Times New Roman"/>
        </w:rPr>
        <w:t xml:space="preserve"> </w:t>
      </w:r>
      <w:r w:rsidR="00C5391D" w:rsidRPr="001A2FAD">
        <w:rPr>
          <w:rFonts w:ascii="Times New Roman" w:hAnsi="Times New Roman" w:cs="Times New Roman"/>
        </w:rPr>
        <w:t xml:space="preserve">To maintain or enhance ROI, </w:t>
      </w:r>
      <w:r w:rsidR="00762352" w:rsidRPr="001A2FAD">
        <w:rPr>
          <w:rFonts w:ascii="Times New Roman" w:hAnsi="Times New Roman" w:cs="Times New Roman"/>
        </w:rPr>
        <w:t>producers</w:t>
      </w:r>
      <w:r w:rsidR="00C5391D" w:rsidRPr="001A2FAD">
        <w:rPr>
          <w:rFonts w:ascii="Times New Roman" w:hAnsi="Times New Roman" w:cs="Times New Roman"/>
        </w:rPr>
        <w:t xml:space="preserve"> should prioritize strategies for cost minimization and yield optimization. This can include adopting efficient farming practices such as integrated pest management (IPM) and precision agriculture to reduce input costs while maximizing productivity </w:t>
      </w:r>
      <w:r w:rsidR="00C5391D" w:rsidRPr="001A2FAD">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&lt;EndNote&gt;&lt;Cite&gt;&lt;Author&gt;Kebe&lt;/Author&gt;&lt;Year&gt;2023&lt;/Year&gt;&lt;RecNum&gt;73&lt;/RecNum&gt;&lt;DisplayText&gt;(Kebe et al., 2023)&lt;/DisplayText&gt;&lt;record&gt;&lt;rec-number&gt;73&lt;/rec-number&gt;&lt;foreign-keys&gt;&lt;key app="EN" db-id="x2savr2skzpztmesfatpfzd7x5rp5ze0d2df" timestamp="1739451368"&gt;73&lt;/key&gt;&lt;/foreign-keys&gt;&lt;ref-type name="Journal Article"&gt;17&lt;/ref-type&gt;&lt;contributors&gt;&lt;authors&gt;&lt;author&gt;Kebe, Alhaji Alusine&lt;/author&gt;&lt;author&gt;Hameed, Shumaila&lt;/author&gt;&lt;author&gt;Farooq, Muhammad Sohail&lt;/author&gt;&lt;author&gt;Sufyan, Abu&lt;/author&gt;&lt;author&gt;Malook, Muhammad Babar&lt;/author&gt;&lt;author&gt;Awais, Sayed&lt;/author&gt;&lt;author&gt;Riaz, Muhammad&lt;/author&gt;&lt;author&gt;Waseem, Muhammad&lt;/author&gt;&lt;author&gt;Amjad, Usman&lt;/author&gt;&lt;author&gt;Abbas, Nasir %J Asian Journal of Research in Crop Science&lt;/author&gt;&lt;/authors&gt;&lt;/contributors&gt;&lt;titles&gt;&lt;title&gt;Enhancing Crop Protection and Yield through Precision Agriculture and Integrated Pest Management: A Comprehensive Review&lt;/title&gt;&lt;/titles&gt;&lt;pages&gt;443-453&lt;/pages&gt;&lt;volume&gt;8&lt;/volume&gt;&lt;number&gt;4&lt;/number&gt;&lt;dates&gt;&lt;year&gt;2023&lt;/year&gt;&lt;/dates&gt;&lt;isbn&gt;2581-7167&lt;/isbn&gt;&lt;urls&gt;&lt;/urls&gt;&lt;electronic-resource-num&gt; https://doi.org/10.9734/ajrcs/2023/v8i4225&lt;/electronic-resource-num&gt;&lt;/record&gt;&lt;/Cite&gt;&lt;/EndNote&gt;</w:instrText>
      </w:r>
      <w:r w:rsidR="00C5391D" w:rsidRPr="001A2FAD">
        <w:rPr>
          <w:rFonts w:ascii="Times New Roman" w:hAnsi="Times New Roman" w:cs="Times New Roman"/>
        </w:rPr>
        <w:fldChar w:fldCharType="separate"/>
      </w:r>
      <w:r w:rsidR="00064C6E">
        <w:rPr>
          <w:rFonts w:ascii="Times New Roman" w:hAnsi="Times New Roman" w:cs="Times New Roman"/>
          <w:noProof/>
        </w:rPr>
        <w:t>(Kebe et al., 2023)</w:t>
      </w:r>
      <w:r w:rsidR="00C5391D" w:rsidRPr="001A2FAD">
        <w:rPr>
          <w:rFonts w:ascii="Times New Roman" w:hAnsi="Times New Roman" w:cs="Times New Roman"/>
        </w:rPr>
        <w:fldChar w:fldCharType="end"/>
      </w:r>
      <w:r w:rsidR="00C5391D" w:rsidRPr="001A2FAD">
        <w:rPr>
          <w:rFonts w:ascii="Times New Roman" w:hAnsi="Times New Roman" w:cs="Times New Roman"/>
        </w:rPr>
        <w:t xml:space="preserve">. </w:t>
      </w:r>
    </w:p>
    <w:p w14:paraId="175A99BC" w14:textId="77777777" w:rsidR="00BC5B03" w:rsidRPr="003934FE" w:rsidRDefault="00BC5B03" w:rsidP="0030271E">
      <w:pPr>
        <w:pStyle w:val="Heading3"/>
        <w:numPr>
          <w:ilvl w:val="2"/>
          <w:numId w:val="1"/>
        </w:numPr>
        <w:jc w:val="both"/>
        <w:rPr>
          <w:rFonts w:cs="Times New Roman"/>
          <w:szCs w:val="24"/>
        </w:rPr>
      </w:pPr>
      <w:bookmarkStart w:id="18" w:name="_Hlk232672475"/>
      <w:r w:rsidRPr="003934FE">
        <w:rPr>
          <w:rFonts w:cs="Times New Roman"/>
          <w:szCs w:val="24"/>
        </w:rPr>
        <w:t>Profitability Index (PI)</w:t>
      </w:r>
    </w:p>
    <w:bookmarkEnd w:id="18"/>
    <w:p w14:paraId="09C873CD" w14:textId="7F4702E5" w:rsidR="00BC5B03" w:rsidRPr="00BC5B03" w:rsidRDefault="00BC5B03" w:rsidP="00BC5B03">
      <w:pPr>
        <w:spacing w:line="360" w:lineRule="auto"/>
        <w:jc w:val="both"/>
        <w:rPr>
          <w:rFonts w:ascii="Times New Roman" w:hAnsi="Times New Roman" w:cs="Times New Roman"/>
        </w:rPr>
      </w:pPr>
      <w:r w:rsidRPr="00BC5B03">
        <w:rPr>
          <w:rFonts w:ascii="Times New Roman" w:hAnsi="Times New Roman" w:cs="Times New Roman"/>
        </w:rPr>
        <w:t>The Profitability Index (PI) was 1.73, which is identical to the BCR because the analysis was conducted for a single production cycle. A PI greater than one indicates that the present value of benefits exceeds the value of costs incurred. The obtained value suggests that onion production creates significant economic value and provides returns substantially above investment costs. Therefore, the enterprise can be categorized as economically attractive and financially efficient.</w:t>
      </w:r>
      <w:r w:rsidR="00CB4D3E">
        <w:rPr>
          <w:rFonts w:ascii="Times New Roman" w:hAnsi="Times New Roman" w:cs="Times New Roman"/>
        </w:rPr>
        <w:t xml:space="preserve"> </w:t>
      </w:r>
      <w:r w:rsidR="007A5F76">
        <w:rPr>
          <w:rFonts w:ascii="Times New Roman" w:hAnsi="Times New Roman" w:cs="Times New Roman"/>
        </w:rPr>
        <w:t>Profitability</w:t>
      </w:r>
      <w:r w:rsidR="00CB4D3E" w:rsidRPr="007A5F76">
        <w:rPr>
          <w:rFonts w:ascii="Times New Roman" w:hAnsi="Times New Roman" w:cs="Times New Roman"/>
        </w:rPr>
        <w:t xml:space="preserve"> indicators exceeding unity are commonly used to identify profitable agricultural enterprises capable of generating sustainable returns on invested capital</w:t>
      </w:r>
      <w:r w:rsidR="007A5F76">
        <w:rPr>
          <w:rFonts w:ascii="Times New Roman" w:hAnsi="Times New Roman" w:cs="Times New Roman"/>
        </w:rPr>
        <w:t xml:space="preserve"> </w:t>
      </w:r>
      <w:r w:rsidR="007A5F76">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&lt;EndNote&gt;&lt;Cite&gt;&lt;Author&gt;Zorn&lt;/Author&gt;&lt;Year&gt;2018&lt;/Year&gt;&lt;RecNum&gt;15&lt;/RecNum&gt;&lt;DisplayText&gt;(Zorn, Esteves, Baur, &amp;amp; Lips, 2018)&lt;/DisplayText&gt;&lt;record&gt;&lt;rec-number&gt;15&lt;/rec-number&gt;&lt;foreign-keys&gt;&lt;key app="EN" db-id="rv2farxaa5rz9serswtvtwa6e9a00x9tv5sf" timestamp="1781807952"&gt;15&lt;/key&gt;&lt;/foreign-keys&gt;&lt;ref-type name="Journal Article"&gt;17&lt;/ref-type&gt;&lt;contributors&gt;&lt;authors&gt;&lt;author&gt;Zorn, Alexander&lt;/author&gt;&lt;author&gt;Esteves, Michele&lt;/author&gt;&lt;author&gt;Baur, Ivo&lt;/author&gt;&lt;author&gt;Lips, Markus&lt;/author&gt;&lt;/authors&gt;&lt;/contributors&gt;&lt;titles&gt;&lt;title&gt;Financial ratios as indicators of economic sustainability: A quantitative analysis for Swiss dairy farms&lt;/title&gt;&lt;secondary-title&gt;Sustainability&lt;/secondary-title&gt;&lt;/titles&gt;&lt;periodical&gt;&lt;full-title&gt;Sustainability&lt;/full-title&gt;&lt;/periodical&gt;&lt;pages&gt;2942&lt;/pages&gt;&lt;volume&gt;10&lt;/volume&gt;&lt;number&gt;8&lt;/number&gt;&lt;dates&gt;&lt;year&gt;2018&lt;/year&gt;&lt;/dates&gt;&lt;isbn&gt;2071-1050&lt;/isbn&gt;&lt;urls&gt;&lt;/urls&gt;&lt;/record&gt;&lt;/Cite&gt;&lt;/EndNote&gt;</w:instrText>
      </w:r>
      <w:r w:rsidR="007A5F76">
        <w:rPr>
          <w:rFonts w:ascii="Times New Roman" w:hAnsi="Times New Roman" w:cs="Times New Roman"/>
        </w:rPr>
        <w:fldChar w:fldCharType="separate"/>
      </w:r>
      <w:r w:rsidR="00064C6E">
        <w:rPr>
          <w:rFonts w:ascii="Times New Roman" w:hAnsi="Times New Roman" w:cs="Times New Roman"/>
          <w:noProof/>
        </w:rPr>
        <w:t>(Zorn, Esteves, Baur, &amp; Lips, 2018)</w:t>
      </w:r>
      <w:r w:rsidR="007A5F76">
        <w:rPr>
          <w:rFonts w:ascii="Times New Roman" w:hAnsi="Times New Roman" w:cs="Times New Roman"/>
        </w:rPr>
        <w:fldChar w:fldCharType="end"/>
      </w:r>
      <w:r w:rsidR="00CB4D3E" w:rsidRPr="007A5F76">
        <w:rPr>
          <w:rFonts w:ascii="Times New Roman" w:hAnsi="Times New Roman" w:cs="Times New Roman"/>
        </w:rPr>
        <w:t>.</w:t>
      </w:r>
    </w:p>
    <w:p w14:paraId="603E1C10" w14:textId="5B17E3F1" w:rsidR="00BC5B03" w:rsidRPr="003934FE" w:rsidRDefault="00BC5B03" w:rsidP="0030271E">
      <w:pPr>
        <w:pStyle w:val="Heading3"/>
        <w:numPr>
          <w:ilvl w:val="2"/>
          <w:numId w:val="1"/>
        </w:numPr>
        <w:jc w:val="both"/>
        <w:rPr>
          <w:rFonts w:cs="Times New Roman"/>
          <w:szCs w:val="24"/>
        </w:rPr>
      </w:pPr>
      <w:bookmarkStart w:id="19" w:name="_Hlk232672507"/>
      <w:r w:rsidRPr="003934FE">
        <w:rPr>
          <w:rFonts w:cs="Times New Roman"/>
          <w:szCs w:val="24"/>
        </w:rPr>
        <w:t>Break-Even Price</w:t>
      </w:r>
    </w:p>
    <w:bookmarkEnd w:id="19"/>
    <w:p w14:paraId="49C771DF" w14:textId="2B5D266E" w:rsidR="00BC5B03" w:rsidRPr="003934FE" w:rsidRDefault="00BC5B03" w:rsidP="00BC5B03">
      <w:pPr>
        <w:spacing w:line="360" w:lineRule="auto"/>
        <w:jc w:val="both"/>
        <w:rPr>
          <w:rFonts w:ascii="Times New Roman" w:hAnsi="Times New Roman" w:cs="Times New Roman"/>
        </w:rPr>
      </w:pPr>
      <w:r w:rsidRPr="003934FE">
        <w:rPr>
          <w:rFonts w:ascii="Times New Roman" w:hAnsi="Times New Roman" w:cs="Times New Roman"/>
        </w:rPr>
        <w:t xml:space="preserve">The </w:t>
      </w:r>
      <w:r w:rsidRPr="00BC5B03">
        <w:rPr>
          <w:rStyle w:val="Strong"/>
          <w:rFonts w:ascii="Times New Roman" w:hAnsi="Times New Roman" w:cs="Times New Roman"/>
          <w:b w:val="0"/>
        </w:rPr>
        <w:t xml:space="preserve">break-even price was </w:t>
      </w:r>
      <w:r w:rsidRPr="00BC5B03">
        <w:rPr>
          <w:rFonts w:ascii="Times New Roman" w:hAnsi="Times New Roman" w:cs="Times New Roman"/>
          <w:bCs/>
        </w:rPr>
        <w:t>ETB</w:t>
      </w:r>
      <w:r w:rsidRPr="00BC5B03">
        <w:rPr>
          <w:rStyle w:val="Strong"/>
          <w:rFonts w:ascii="Times New Roman" w:hAnsi="Times New Roman" w:cs="Times New Roman"/>
          <w:b w:val="0"/>
        </w:rPr>
        <w:t xml:space="preserve"> 23.1 kg⁻¹</w:t>
      </w:r>
      <w:r w:rsidRPr="00BC5B03">
        <w:rPr>
          <w:rFonts w:ascii="Times New Roman" w:hAnsi="Times New Roman" w:cs="Times New Roman"/>
          <w:b/>
        </w:rPr>
        <w:t>,</w:t>
      </w:r>
      <w:r w:rsidRPr="003934FE">
        <w:rPr>
          <w:rFonts w:ascii="Times New Roman" w:hAnsi="Times New Roman" w:cs="Times New Roman"/>
        </w:rPr>
        <w:t xml:space="preserve"> indicating that producers need to sell onion at a minimum price of ETB 23.1 per kilogram to recover production costs. Given the actual average selling price of </w:t>
      </w:r>
      <w:r w:rsidRPr="004E723F">
        <w:rPr>
          <w:rStyle w:val="Strong"/>
          <w:rFonts w:ascii="Times New Roman" w:hAnsi="Times New Roman" w:cs="Times New Roman"/>
          <w:b w:val="0"/>
        </w:rPr>
        <w:t>ETB 40 kg⁻¹</w:t>
      </w:r>
      <w:r w:rsidRPr="004E723F">
        <w:rPr>
          <w:rFonts w:ascii="Times New Roman" w:hAnsi="Times New Roman" w:cs="Times New Roman"/>
          <w:b/>
        </w:rPr>
        <w:t>,</w:t>
      </w:r>
      <w:r w:rsidRPr="003934FE">
        <w:rPr>
          <w:rFonts w:ascii="Times New Roman" w:hAnsi="Times New Roman" w:cs="Times New Roman"/>
        </w:rPr>
        <w:t xml:space="preserve"> producers enjoyed a price advantage of </w:t>
      </w:r>
      <w:r w:rsidRPr="004E723F">
        <w:rPr>
          <w:rStyle w:val="Strong"/>
          <w:rFonts w:ascii="Times New Roman" w:hAnsi="Times New Roman" w:cs="Times New Roman"/>
          <w:b w:val="0"/>
        </w:rPr>
        <w:t>ETB 16.9 kg⁻¹</w:t>
      </w:r>
      <w:r w:rsidRPr="003934FE">
        <w:rPr>
          <w:rFonts w:ascii="Times New Roman" w:hAnsi="Times New Roman" w:cs="Times New Roman"/>
        </w:rPr>
        <w:t xml:space="preserve"> above the break-even level. This substantial margin demonstrates strong market competitiveness and indicates that onion production can remain profitable even under moderate market price declines.</w:t>
      </w:r>
      <w:r w:rsidR="007A5F76">
        <w:rPr>
          <w:rFonts w:ascii="Times New Roman" w:hAnsi="Times New Roman" w:cs="Times New Roman"/>
        </w:rPr>
        <w:t xml:space="preserve"> </w:t>
      </w:r>
      <w:r w:rsidR="007A5F76" w:rsidRPr="007A5F76">
        <w:rPr>
          <w:rFonts w:ascii="Times New Roman" w:hAnsi="Times New Roman" w:cs="Times New Roman"/>
        </w:rPr>
        <w:t>Similar findings have been reported in studies of irrigated vegetable production, where actual market prices significantly exceeded break-even prices, thereby providing producers with a considerable buffer against market volatility and production risks</w:t>
      </w:r>
      <w:r w:rsidR="007A5F76">
        <w:rPr>
          <w:rFonts w:ascii="Times New Roman" w:hAnsi="Times New Roman" w:cs="Times New Roman"/>
        </w:rPr>
        <w:t xml:space="preserve"> </w:t>
      </w:r>
      <w:r w:rsidR="007A5F76">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&lt;EndNote&gt;&lt;Cite&gt;&lt;Author&gt;Fadairo&lt;/Author&gt;&lt;Year&gt;2026&lt;/Year&gt;&lt;RecNum&gt;16&lt;/RecNum&gt;&lt;DisplayText&gt;(Fadairo, Atser, Ver, Akombo, &amp;amp; Ikuemonisan, 2026)&lt;/DisplayText&gt;&lt;record&gt;&lt;rec-number&gt;16&lt;/rec-number&gt;&lt;foreign-keys&gt;&lt;key app="EN" db-id="rv2farxaa5rz9serswtvtwa6e9a00x9tv5sf" timestamp="1781808175"&gt;16&lt;/key&gt;&lt;/foreign-keys&gt;&lt;ref-type name="Journal Article"&gt;17&lt;/ref-type&gt;&lt;contributors&gt;&lt;authors&gt;&lt;author&gt;Fadairo, Anjolaoluwa O&lt;/author&gt;&lt;author&gt;Atser, Godwin&lt;/author&gt;&lt;author&gt;Ver, Abraham T&lt;/author&gt;&lt;author&gt;Akombo, Richard A&lt;/author&gt;&lt;author&gt;Ikuemonisan, Edamisan Stephen&lt;/author&gt;&lt;/authors&gt;&lt;/contributors&gt;&lt;titles&gt;&lt;title&gt;Profitability and crop choice dynamics in Nigerian smallholder vegetable systems and implications for intervention design in Benue State&lt;/title&gt;&lt;secondary-title&gt;Discover Agriculture&lt;/secondary-title&gt;&lt;/titles&gt;&lt;periodical&gt;&lt;full-title&gt;Discover Agriculture&lt;/full-title&gt;&lt;/periodical&gt;&lt;pages&gt;184&lt;/pages&gt;&lt;volume&gt;4&lt;/volume&gt;&lt;number&gt;1&lt;/number&gt;&lt;dates&gt;&lt;year&gt;2026&lt;/year&gt;&lt;/dates&gt;&lt;isbn&gt;2731-9598&lt;/isbn&gt;&lt;urls&gt;&lt;/urls&gt;&lt;/record&gt;&lt;/Cite&gt;&lt;/EndNote&gt;</w:instrText>
      </w:r>
      <w:r w:rsidR="007A5F76">
        <w:rPr>
          <w:rFonts w:ascii="Times New Roman" w:hAnsi="Times New Roman" w:cs="Times New Roman"/>
        </w:rPr>
        <w:fldChar w:fldCharType="separate"/>
      </w:r>
      <w:r w:rsidR="00064C6E">
        <w:rPr>
          <w:rFonts w:ascii="Times New Roman" w:hAnsi="Times New Roman" w:cs="Times New Roman"/>
          <w:noProof/>
        </w:rPr>
        <w:t>(Fadairo, Atser, Ver, Akombo, &amp; Ikuemonisan, 2026)</w:t>
      </w:r>
      <w:r w:rsidR="007A5F76">
        <w:rPr>
          <w:rFonts w:ascii="Times New Roman" w:hAnsi="Times New Roman" w:cs="Times New Roman"/>
        </w:rPr>
        <w:fldChar w:fldCharType="end"/>
      </w:r>
      <w:r w:rsidR="007A5F76" w:rsidRPr="007A5F76">
        <w:rPr>
          <w:rFonts w:ascii="Times New Roman" w:hAnsi="Times New Roman" w:cs="Times New Roman"/>
        </w:rPr>
        <w:t xml:space="preserve">. </w:t>
      </w:r>
    </w:p>
    <w:p w14:paraId="03684C9C" w14:textId="0ECBCAF5" w:rsidR="00BC5B03" w:rsidRPr="003934FE" w:rsidRDefault="00BC5B03" w:rsidP="0030271E">
      <w:pPr>
        <w:pStyle w:val="Heading3"/>
        <w:numPr>
          <w:ilvl w:val="2"/>
          <w:numId w:val="1"/>
        </w:numPr>
        <w:jc w:val="both"/>
        <w:rPr>
          <w:rFonts w:cs="Times New Roman"/>
          <w:szCs w:val="24"/>
        </w:rPr>
      </w:pPr>
      <w:bookmarkStart w:id="20" w:name="_Hlk232672521"/>
      <w:r w:rsidRPr="003934FE">
        <w:rPr>
          <w:rFonts w:cs="Times New Roman"/>
          <w:szCs w:val="24"/>
        </w:rPr>
        <w:lastRenderedPageBreak/>
        <w:t>Margin of Safety</w:t>
      </w:r>
    </w:p>
    <w:bookmarkEnd w:id="20"/>
    <w:p w14:paraId="338FCEB1" w14:textId="23252D1A" w:rsidR="00BC5B03" w:rsidRPr="003934FE" w:rsidRDefault="00BC5B03" w:rsidP="00A56608">
      <w:pPr>
        <w:spacing w:line="360" w:lineRule="auto"/>
        <w:jc w:val="both"/>
        <w:rPr>
          <w:rFonts w:ascii="Times New Roman" w:hAnsi="Times New Roman" w:cs="Times New Roman"/>
        </w:rPr>
      </w:pPr>
      <w:r w:rsidRPr="003934FE">
        <w:rPr>
          <w:rFonts w:ascii="Times New Roman" w:hAnsi="Times New Roman" w:cs="Times New Roman"/>
        </w:rPr>
        <w:t xml:space="preserve">The </w:t>
      </w:r>
      <w:r w:rsidRPr="004E723F">
        <w:rPr>
          <w:rStyle w:val="Strong"/>
          <w:rFonts w:ascii="Times New Roman" w:hAnsi="Times New Roman" w:cs="Times New Roman"/>
          <w:b w:val="0"/>
        </w:rPr>
        <w:t>margin of safety in yield (42.24%)</w:t>
      </w:r>
      <w:r w:rsidRPr="004E723F">
        <w:rPr>
          <w:rFonts w:ascii="Times New Roman" w:hAnsi="Times New Roman" w:cs="Times New Roman"/>
          <w:b/>
        </w:rPr>
        <w:t xml:space="preserve"> </w:t>
      </w:r>
      <w:r w:rsidRPr="004E723F">
        <w:rPr>
          <w:rFonts w:ascii="Times New Roman" w:hAnsi="Times New Roman" w:cs="Times New Roman"/>
        </w:rPr>
        <w:t>and</w:t>
      </w:r>
      <w:r w:rsidRPr="004E723F">
        <w:rPr>
          <w:rFonts w:ascii="Times New Roman" w:hAnsi="Times New Roman" w:cs="Times New Roman"/>
          <w:b/>
        </w:rPr>
        <w:t xml:space="preserve"> </w:t>
      </w:r>
      <w:r w:rsidRPr="004E723F">
        <w:rPr>
          <w:rStyle w:val="Strong"/>
          <w:rFonts w:ascii="Times New Roman" w:hAnsi="Times New Roman" w:cs="Times New Roman"/>
          <w:b w:val="0"/>
        </w:rPr>
        <w:t>margin of safety in price (42.25%)</w:t>
      </w:r>
      <w:r w:rsidRPr="003934FE">
        <w:rPr>
          <w:rFonts w:ascii="Times New Roman" w:hAnsi="Times New Roman" w:cs="Times New Roman"/>
        </w:rPr>
        <w:t xml:space="preserve"> provide important measures of financial risk and enterprise stability. These indicators imply that yield or market price could decline by approximately </w:t>
      </w:r>
      <w:r w:rsidRPr="004E723F">
        <w:rPr>
          <w:rStyle w:val="Strong"/>
          <w:rFonts w:ascii="Times New Roman" w:hAnsi="Times New Roman" w:cs="Times New Roman"/>
          <w:b w:val="0"/>
        </w:rPr>
        <w:t>42% before the enterprise reaches the break-even point</w:t>
      </w:r>
      <w:r w:rsidRPr="004E723F">
        <w:rPr>
          <w:rFonts w:ascii="Times New Roman" w:hAnsi="Times New Roman" w:cs="Times New Roman"/>
          <w:b/>
        </w:rPr>
        <w:t>.</w:t>
      </w:r>
      <w:r w:rsidR="00BD2471">
        <w:rPr>
          <w:rFonts w:ascii="Times New Roman" w:hAnsi="Times New Roman" w:cs="Times New Roman"/>
          <w:b/>
        </w:rPr>
        <w:t xml:space="preserve"> </w:t>
      </w:r>
      <w:r w:rsidRPr="003934FE">
        <w:rPr>
          <w:rFonts w:ascii="Times New Roman" w:hAnsi="Times New Roman" w:cs="Times New Roman"/>
        </w:rPr>
        <w:t xml:space="preserve">The relatively large margins of safety indicate a low level of financial vulnerability and demonstrate that onion production </w:t>
      </w:r>
      <w:r w:rsidR="00A56608">
        <w:rPr>
          <w:rFonts w:ascii="Times New Roman" w:hAnsi="Times New Roman" w:cs="Times New Roman"/>
        </w:rPr>
        <w:t>is highly resilient to</w:t>
      </w:r>
      <w:r w:rsidRPr="003934FE">
        <w:rPr>
          <w:rFonts w:ascii="Times New Roman" w:hAnsi="Times New Roman" w:cs="Times New Roman"/>
        </w:rPr>
        <w:t xml:space="preserve"> production and market shocks. Such risk-buffering capacity is particularly important in agricultural systems where fluctuations in weather, pests, diseases, and market prices are common.</w:t>
      </w:r>
      <w:r w:rsidR="007A5F76">
        <w:rPr>
          <w:rFonts w:ascii="Times New Roman" w:hAnsi="Times New Roman" w:cs="Times New Roman"/>
        </w:rPr>
        <w:t xml:space="preserve"> </w:t>
      </w:r>
      <w:r w:rsidR="007A5F76" w:rsidRPr="007A5F76">
        <w:rPr>
          <w:rFonts w:ascii="Times New Roman" w:hAnsi="Times New Roman" w:cs="Times New Roman"/>
        </w:rPr>
        <w:t>Similar observations have been reported in agricultural investment and farm management studies, where larger margins of safety were associated with greater enterprise resilience and reduced financial risk</w:t>
      </w:r>
      <w:r w:rsidR="007A5F76">
        <w:rPr>
          <w:rFonts w:ascii="Times New Roman" w:hAnsi="Times New Roman" w:cs="Times New Roman"/>
        </w:rPr>
        <w:t xml:space="preserve"> </w:t>
      </w:r>
      <w:r w:rsidR="007A5F76">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&lt;EndNote&gt;&lt;Cite&gt;&lt;Author&gt;Watson&lt;/Author&gt;&lt;Year&gt;2018&lt;/Year&gt;&lt;RecNum&gt;17&lt;/RecNum&gt;&lt;DisplayText&gt;(Watson, Armerin, Klinger, &amp;amp; Belton, 2018)&lt;/DisplayText&gt;&lt;record&gt;&lt;rec-number&gt;17&lt;/rec-number&gt;&lt;foreign-keys&gt;&lt;key app="EN" db-id="rv2farxaa5rz9serswtvtwa6e9a00x9tv5sf" timestamp="1781808385"&gt;17&lt;/key&gt;&lt;/foreign-keys&gt;&lt;ref-type name="Journal Article"&gt;17&lt;/ref-type&gt;&lt;contributors&gt;&lt;authors&gt;&lt;author&gt;Watson, James R&lt;/author&gt;&lt;author&gt;Armerin, Fredrik&lt;/author&gt;&lt;author&gt;Klinger, Dane H&lt;/author&gt;&lt;author&gt;Belton, Ben&lt;/author&gt;&lt;/authors&gt;&lt;/contributors&gt;&lt;titles&gt;&lt;title&gt;Resilience through risk management: cooperative insurance in small-holder aquaculture systems&lt;/title&gt;&lt;secondary-title&gt;Heliyon&lt;/secondary-title&gt;&lt;/titles&gt;&lt;periodical&gt;&lt;full-title&gt;Heliyon&lt;/full-title&gt;&lt;/periodical&gt;&lt;volume&gt;4&lt;/volume&gt;&lt;number&gt;9&lt;/number&gt;&lt;dates&gt;&lt;year&gt;2018&lt;/year&gt;&lt;/dates&gt;&lt;isbn&gt;2405-8440&lt;/isbn&gt;&lt;urls&gt;&lt;/urls&gt;&lt;/record&gt;&lt;/Cite&gt;&lt;/EndNote&gt;</w:instrText>
      </w:r>
      <w:r w:rsidR="007A5F76">
        <w:rPr>
          <w:rFonts w:ascii="Times New Roman" w:hAnsi="Times New Roman" w:cs="Times New Roman"/>
        </w:rPr>
        <w:fldChar w:fldCharType="separate"/>
      </w:r>
      <w:r w:rsidR="00064C6E">
        <w:rPr>
          <w:rFonts w:ascii="Times New Roman" w:hAnsi="Times New Roman" w:cs="Times New Roman"/>
          <w:noProof/>
        </w:rPr>
        <w:t>(Watson, Armerin, Klinger, &amp; Belton, 2018)</w:t>
      </w:r>
      <w:r w:rsidR="007A5F76">
        <w:rPr>
          <w:rFonts w:ascii="Times New Roman" w:hAnsi="Times New Roman" w:cs="Times New Roman"/>
        </w:rPr>
        <w:fldChar w:fldCharType="end"/>
      </w:r>
      <w:r w:rsidR="007A5F76" w:rsidRPr="007A5F76">
        <w:rPr>
          <w:rFonts w:ascii="Times New Roman" w:hAnsi="Times New Roman" w:cs="Times New Roman"/>
        </w:rPr>
        <w:t xml:space="preserve">. </w:t>
      </w:r>
    </w:p>
    <w:p w14:paraId="2EF936AA" w14:textId="2BD0B599" w:rsidR="00BC5B03" w:rsidRPr="003934FE" w:rsidRDefault="00BC5B03" w:rsidP="0030271E">
      <w:pPr>
        <w:pStyle w:val="Heading3"/>
        <w:numPr>
          <w:ilvl w:val="2"/>
          <w:numId w:val="1"/>
        </w:numPr>
        <w:jc w:val="both"/>
        <w:rPr>
          <w:rFonts w:cs="Times New Roman"/>
          <w:szCs w:val="24"/>
        </w:rPr>
      </w:pPr>
      <w:bookmarkStart w:id="21" w:name="_Hlk232672540"/>
      <w:r w:rsidRPr="003934FE">
        <w:rPr>
          <w:rFonts w:cs="Times New Roman"/>
          <w:szCs w:val="24"/>
        </w:rPr>
        <w:t>Payback Period</w:t>
      </w:r>
    </w:p>
    <w:bookmarkEnd w:id="21"/>
    <w:p w14:paraId="29B2F3D9" w14:textId="0D0C7545" w:rsidR="00BC5B03" w:rsidRPr="003934FE" w:rsidRDefault="00BC5B03" w:rsidP="00A56608">
      <w:pPr>
        <w:spacing w:line="360" w:lineRule="auto"/>
        <w:jc w:val="both"/>
        <w:rPr>
          <w:rFonts w:ascii="Times New Roman" w:hAnsi="Times New Roman" w:cs="Times New Roman"/>
        </w:rPr>
      </w:pPr>
      <w:r w:rsidRPr="003934FE">
        <w:rPr>
          <w:rFonts w:ascii="Times New Roman" w:hAnsi="Times New Roman" w:cs="Times New Roman"/>
        </w:rPr>
        <w:t xml:space="preserve">The </w:t>
      </w:r>
      <w:r w:rsidRPr="004E723F">
        <w:rPr>
          <w:rStyle w:val="Strong"/>
          <w:rFonts w:ascii="Times New Roman" w:hAnsi="Times New Roman" w:cs="Times New Roman"/>
          <w:b w:val="0"/>
        </w:rPr>
        <w:t>payback period was estimated at 1.37 production seasons</w:t>
      </w:r>
      <w:r w:rsidRPr="004E723F">
        <w:rPr>
          <w:rFonts w:ascii="Times New Roman" w:hAnsi="Times New Roman" w:cs="Times New Roman"/>
          <w:b/>
        </w:rPr>
        <w:t>,</w:t>
      </w:r>
      <w:r w:rsidRPr="003934FE">
        <w:rPr>
          <w:rFonts w:ascii="Times New Roman" w:hAnsi="Times New Roman" w:cs="Times New Roman"/>
        </w:rPr>
        <w:t xml:space="preserve"> indicating that the initial investment can be recovered within slightly more than one production cycle. A short payback period is generally viewed as a desirable investment characteristic because it reduces financial risk and improves capital turnover. The result suggests that onion production </w:t>
      </w:r>
      <w:r w:rsidR="00A56608">
        <w:rPr>
          <w:rFonts w:ascii="Times New Roman" w:hAnsi="Times New Roman" w:cs="Times New Roman"/>
        </w:rPr>
        <w:t>enables producers to recoup their investment rapidly and generate</w:t>
      </w:r>
      <w:r w:rsidRPr="003934FE">
        <w:rPr>
          <w:rFonts w:ascii="Times New Roman" w:hAnsi="Times New Roman" w:cs="Times New Roman"/>
        </w:rPr>
        <w:t xml:space="preserve"> profits within a relatively short period.</w:t>
      </w:r>
      <w:r w:rsidR="007A5F76">
        <w:rPr>
          <w:rFonts w:ascii="Times New Roman" w:hAnsi="Times New Roman" w:cs="Times New Roman"/>
        </w:rPr>
        <w:t xml:space="preserve"> </w:t>
      </w:r>
      <w:r w:rsidR="007A5F76" w:rsidRPr="007A5F76">
        <w:rPr>
          <w:rFonts w:ascii="Times New Roman" w:hAnsi="Times New Roman" w:cs="Times New Roman"/>
        </w:rPr>
        <w:t>This finding is consistent with agricultural investment appraisal literature, which identifies shorter payback periods as indicators of lower investment risk and greater financial attractiveness</w:t>
      </w:r>
      <w:r w:rsidR="004E038E">
        <w:rPr>
          <w:rFonts w:ascii="Times New Roman" w:hAnsi="Times New Roman" w:cs="Times New Roman"/>
        </w:rPr>
        <w:t xml:space="preserve"> </w:t>
      </w:r>
      <w:r w:rsidR="004E038E">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&lt;EndNote&gt;&lt;Cite&gt;&lt;Author&gt;Ruales&lt;/Author&gt;&lt;Year&gt;2020&lt;/Year&gt;&lt;RecNum&gt;18&lt;/RecNum&gt;&lt;DisplayText&gt;(Ruales, Seriño, Ratilla, Cuizon, &amp;amp; Enerlan, 2020)&lt;/DisplayText&gt;&lt;record&gt;&lt;rec-number&gt;18&lt;/rec-number&gt;&lt;foreign-keys&gt;&lt;key app="EN" db-id="rv2farxaa5rz9serswtvtwa6e9a00x9tv5sf" timestamp="1781808712"&gt;18&lt;/key&gt;&lt;/foreign-keys&gt;&lt;ref-type name="Journal Article"&gt;17&lt;/ref-type&gt;&lt;contributors&gt;&lt;authors&gt;&lt;author&gt;Ruales, Jessa H&lt;/author&gt;&lt;author&gt;Seriño, Moises Neil V&lt;/author&gt;&lt;author&gt;Ratilla, Therese C&lt;/author&gt;&lt;author&gt;Cuizon, Jacob G&lt;/author&gt;&lt;author&gt;Enerlan, Wendy C&lt;/author&gt;&lt;/authors&gt;&lt;/contributors&gt;&lt;titles&gt;&lt;title&gt;Investment appraisal of selected climate smart agricultural (CSA) practices among small scale coconut farmers in Leyte, Philippines&lt;/title&gt;&lt;/titles&gt;&lt;dates&gt;&lt;year&gt;2020&lt;/year&gt;&lt;/dates&gt;&lt;urls&gt;&lt;/urls&gt;&lt;/record&gt;&lt;/Cite&gt;&lt;/EndNote&gt;</w:instrText>
      </w:r>
      <w:r w:rsidR="004E038E">
        <w:rPr>
          <w:rFonts w:ascii="Times New Roman" w:hAnsi="Times New Roman" w:cs="Times New Roman"/>
        </w:rPr>
        <w:fldChar w:fldCharType="separate"/>
      </w:r>
      <w:r w:rsidR="00064C6E">
        <w:rPr>
          <w:rFonts w:ascii="Times New Roman" w:hAnsi="Times New Roman" w:cs="Times New Roman"/>
          <w:noProof/>
        </w:rPr>
        <w:t>(Ruales, Seriño, Ratilla, Cuizon, &amp; Enerlan, 2020)</w:t>
      </w:r>
      <w:r w:rsidR="004E038E">
        <w:rPr>
          <w:rFonts w:ascii="Times New Roman" w:hAnsi="Times New Roman" w:cs="Times New Roman"/>
        </w:rPr>
        <w:fldChar w:fldCharType="end"/>
      </w:r>
      <w:r w:rsidR="007A5F76" w:rsidRPr="007A5F76">
        <w:rPr>
          <w:rFonts w:ascii="Times New Roman" w:hAnsi="Times New Roman" w:cs="Times New Roman"/>
        </w:rPr>
        <w:t>.</w:t>
      </w:r>
    </w:p>
    <w:p w14:paraId="51418860" w14:textId="655C15C6" w:rsidR="00BC5B03" w:rsidRPr="003934FE" w:rsidRDefault="00BC5B03" w:rsidP="0030271E">
      <w:pPr>
        <w:pStyle w:val="Heading3"/>
        <w:numPr>
          <w:ilvl w:val="2"/>
          <w:numId w:val="1"/>
        </w:numPr>
        <w:jc w:val="both"/>
        <w:rPr>
          <w:rFonts w:cs="Times New Roman"/>
          <w:szCs w:val="24"/>
        </w:rPr>
      </w:pPr>
      <w:bookmarkStart w:id="22" w:name="_Hlk232672554"/>
      <w:r w:rsidRPr="003934FE">
        <w:rPr>
          <w:rFonts w:cs="Times New Roman"/>
          <w:szCs w:val="24"/>
        </w:rPr>
        <w:t>Investment Attractiveness</w:t>
      </w:r>
    </w:p>
    <w:bookmarkEnd w:id="22"/>
    <w:p w14:paraId="5A199BB9" w14:textId="2DB57125" w:rsidR="00BC5B03" w:rsidRPr="003934FE" w:rsidRDefault="00BC5B03" w:rsidP="00A56608">
      <w:pPr>
        <w:spacing w:line="360" w:lineRule="auto"/>
        <w:jc w:val="both"/>
        <w:rPr>
          <w:rFonts w:ascii="Times New Roman" w:hAnsi="Times New Roman" w:cs="Times New Roman"/>
        </w:rPr>
      </w:pPr>
      <w:r w:rsidRPr="003934FE">
        <w:rPr>
          <w:rFonts w:ascii="Times New Roman" w:hAnsi="Times New Roman" w:cs="Times New Roman"/>
        </w:rPr>
        <w:t xml:space="preserve">Based on the combined performance of profitability, investment efficiency, risk tolerance, and capital recovery indicators, the overall </w:t>
      </w:r>
      <w:r w:rsidRPr="004E723F">
        <w:rPr>
          <w:rStyle w:val="Strong"/>
          <w:rFonts w:ascii="Times New Roman" w:hAnsi="Times New Roman" w:cs="Times New Roman"/>
          <w:b w:val="0"/>
        </w:rPr>
        <w:t>investment attractiveness of onion production was rated as high</w:t>
      </w:r>
      <w:r w:rsidRPr="004E723F">
        <w:rPr>
          <w:rFonts w:ascii="Times New Roman" w:hAnsi="Times New Roman" w:cs="Times New Roman"/>
          <w:b/>
        </w:rPr>
        <w:t>.</w:t>
      </w:r>
      <w:r w:rsidRPr="003934FE">
        <w:rPr>
          <w:rFonts w:ascii="Times New Roman" w:hAnsi="Times New Roman" w:cs="Times New Roman"/>
        </w:rPr>
        <w:t xml:space="preserve"> The high gross revenue, substantial net return, favorable BCR and PI, strong ROI, large margins of safety, and short payback period collectively indicate that onion production under irrigated conditions is a financially sound and economically attractive enterprise.</w:t>
      </w:r>
      <w:r w:rsidR="004E038E">
        <w:rPr>
          <w:rFonts w:ascii="Times New Roman" w:hAnsi="Times New Roman" w:cs="Times New Roman"/>
        </w:rPr>
        <w:t xml:space="preserve"> </w:t>
      </w:r>
      <w:r w:rsidR="004E038E" w:rsidRPr="004E038E">
        <w:rPr>
          <w:rFonts w:ascii="Times New Roman" w:hAnsi="Times New Roman" w:cs="Times New Roman"/>
        </w:rPr>
        <w:t>This finding is consistent with previous studies demonstrating that irrigated horticultural crops, particularly onion, offer superior economic returns and investment opportunities compared with many traditional agricultural enterprises</w:t>
      </w:r>
      <w:r w:rsidR="004E038E">
        <w:rPr>
          <w:rFonts w:ascii="Times New Roman" w:hAnsi="Times New Roman" w:cs="Times New Roman"/>
        </w:rPr>
        <w:t xml:space="preserve"> </w:t>
      </w:r>
      <w:r w:rsidR="004E038E">
        <w:rPr>
          <w:rFonts w:ascii="Times New Roman" w:hAnsi="Times New Roman" w:cs="Times New Roman"/>
        </w:rPr>
        <w:fldChar w:fldCharType="begin"/>
      </w:r>
      <w:r w:rsidR="00064C6E">
        <w:rPr>
          <w:rFonts w:ascii="Times New Roman" w:hAnsi="Times New Roman" w:cs="Times New Roman"/>
        </w:rPr>
        <w:instrText xml:space="preserve"> ADDIN EN.CITE &lt;EndNote&gt;&lt;Cite&gt;&lt;Author&gt;Absanto&lt;/Author&gt;&lt;Year&gt;2025&lt;/Year&gt;&lt;RecNum&gt;19&lt;/RecNum&gt;&lt;DisplayText&gt;(Absanto, Mkunda, &amp;amp; Nyangarika, 2025)&lt;/DisplayText&gt;&lt;record&gt;&lt;rec-number&gt;19&lt;/rec-number&gt;&lt;foreign-keys&gt;&lt;key app="EN" db-id="rv2farxaa5rz9serswtvtwa6e9a00x9tv5sf" timestamp="1781808897"&gt;19&lt;/key&gt;&lt;/foreign-keys&gt;&lt;ref-type name="Journal Article"&gt;17&lt;/ref-type&gt;&lt;contributors&gt;&lt;authors&gt;&lt;author&gt;Absanto, Gerald&lt;/author&gt;&lt;author&gt;Mkunda, Josephine&lt;/author&gt;&lt;author&gt;Nyangarika, Anthony&lt;/author&gt;&lt;/authors&gt;&lt;/contributors&gt;&lt;titles&gt;&lt;title&gt;Modern Versus Traditional Irrigation Systems: Implications for Technical Efficiency and Input-Output Relationship in Northern Tanzania’s Horticulture Sector&lt;/title&gt;&lt;/titles&gt;&lt;dates&gt;&lt;year&gt;2025&lt;/year&gt;&lt;/dates&gt;&lt;urls&gt;&lt;/urls&gt;&lt;/record&gt;&lt;/Cite&gt;&lt;/EndNote&gt;</w:instrText>
      </w:r>
      <w:r w:rsidR="004E038E">
        <w:rPr>
          <w:rFonts w:ascii="Times New Roman" w:hAnsi="Times New Roman" w:cs="Times New Roman"/>
        </w:rPr>
        <w:fldChar w:fldCharType="separate"/>
      </w:r>
      <w:r w:rsidR="00064C6E">
        <w:rPr>
          <w:rFonts w:ascii="Times New Roman" w:hAnsi="Times New Roman" w:cs="Times New Roman"/>
          <w:noProof/>
        </w:rPr>
        <w:t>(Absanto, Mkunda, &amp; Nyangarika, 2025)</w:t>
      </w:r>
      <w:r w:rsidR="004E038E">
        <w:rPr>
          <w:rFonts w:ascii="Times New Roman" w:hAnsi="Times New Roman" w:cs="Times New Roman"/>
        </w:rPr>
        <w:fldChar w:fldCharType="end"/>
      </w:r>
      <w:r w:rsidR="004E038E" w:rsidRPr="004E038E">
        <w:rPr>
          <w:rFonts w:ascii="Times New Roman" w:hAnsi="Times New Roman" w:cs="Times New Roman"/>
        </w:rPr>
        <w:t>.</w:t>
      </w:r>
    </w:p>
    <w:p w14:paraId="69EF238A" w14:textId="5DE43816" w:rsidR="00301823" w:rsidRPr="001A2FAD" w:rsidRDefault="00301823" w:rsidP="001A2FAD">
      <w:pPr>
        <w:spacing w:line="360" w:lineRule="auto"/>
        <w:jc w:val="both"/>
        <w:rPr>
          <w:rFonts w:ascii="Times New Roman" w:hAnsi="Times New Roman" w:cs="Times New Roman"/>
        </w:rPr>
      </w:pPr>
      <w:r w:rsidRPr="001A2FAD">
        <w:rPr>
          <w:rFonts w:ascii="Times New Roman" w:hAnsi="Times New Roman" w:cs="Times New Roman"/>
        </w:rPr>
        <w:t xml:space="preserve">Table </w:t>
      </w:r>
      <w:r w:rsidRPr="001A2FAD">
        <w:rPr>
          <w:rFonts w:ascii="Times New Roman" w:hAnsi="Times New Roman" w:cs="Times New Roman"/>
        </w:rPr>
        <w:fldChar w:fldCharType="begin"/>
      </w:r>
      <w:r w:rsidRPr="001A2FAD">
        <w:rPr>
          <w:rFonts w:ascii="Times New Roman" w:hAnsi="Times New Roman" w:cs="Times New Roman"/>
        </w:rPr>
        <w:instrText xml:space="preserve"> SEQ Table \* ARABIC </w:instrText>
      </w:r>
      <w:r w:rsidRPr="001A2FAD">
        <w:rPr>
          <w:rFonts w:ascii="Times New Roman" w:hAnsi="Times New Roman" w:cs="Times New Roman"/>
        </w:rPr>
        <w:fldChar w:fldCharType="separate"/>
      </w:r>
      <w:r w:rsidRPr="001A2FAD">
        <w:rPr>
          <w:rFonts w:ascii="Times New Roman" w:hAnsi="Times New Roman" w:cs="Times New Roman"/>
        </w:rPr>
        <w:t>3</w:t>
      </w:r>
      <w:r w:rsidRPr="001A2FAD">
        <w:rPr>
          <w:rFonts w:ascii="Times New Roman" w:hAnsi="Times New Roman" w:cs="Times New Roman"/>
        </w:rPr>
        <w:fldChar w:fldCharType="end"/>
      </w:r>
      <w:r w:rsidRPr="001A2FAD">
        <w:rPr>
          <w:rFonts w:ascii="Times New Roman" w:hAnsi="Times New Roman" w:cs="Times New Roman"/>
        </w:rPr>
        <w:t xml:space="preserve"> Economic Feasibility Indicators of Onion Production under Irrigated Conditions</w:t>
      </w:r>
    </w:p>
    <w:tbl>
      <w:tblPr>
        <w:tblW w:w="8645" w:type="dxa"/>
        <w:tblInd w:w="108" w:type="dxa"/>
        <w:tblLook w:val="04A0" w:firstRow="1" w:lastRow="0" w:firstColumn="1" w:lastColumn="0" w:noHBand="0" w:noVBand="1"/>
      </w:tblPr>
      <w:tblGrid>
        <w:gridCol w:w="4864"/>
        <w:gridCol w:w="1736"/>
        <w:gridCol w:w="2045"/>
      </w:tblGrid>
      <w:tr w:rsidR="00290F9E" w:rsidRPr="001A2FAD" w14:paraId="1EA4267F" w14:textId="77777777" w:rsidTr="00F27B21">
        <w:trPr>
          <w:trHeight w:val="224"/>
        </w:trPr>
        <w:tc>
          <w:tcPr>
            <w:tcW w:w="4864" w:type="dxa"/>
            <w:tcBorders>
              <w:top w:val="single" w:sz="4" w:space="0" w:color="auto"/>
              <w:bottom w:val="single" w:sz="4" w:space="0" w:color="auto"/>
            </w:tcBorders>
            <w:shd w:val="clear" w:color="auto" w:fill="92D050"/>
            <w:vAlign w:val="center"/>
            <w:hideMark/>
          </w:tcPr>
          <w:p w14:paraId="58BB3B74" w14:textId="77777777" w:rsidR="00290F9E" w:rsidRPr="001A2FAD" w:rsidRDefault="00290F9E" w:rsidP="001A2FAD">
            <w:pPr>
              <w:spacing w:line="240" w:lineRule="auto"/>
              <w:jc w:val="both"/>
              <w:rPr>
                <w:rFonts w:ascii="Times New Roman" w:hAnsi="Times New Roman" w:cs="Times New Roman"/>
                <w:b/>
              </w:rPr>
            </w:pPr>
            <w:r w:rsidRPr="001A2FAD">
              <w:rPr>
                <w:rFonts w:ascii="Times New Roman" w:hAnsi="Times New Roman" w:cs="Times New Roman"/>
                <w:b/>
              </w:rPr>
              <w:lastRenderedPageBreak/>
              <w:t>Indicator</w:t>
            </w:r>
          </w:p>
        </w:tc>
        <w:tc>
          <w:tcPr>
            <w:tcW w:w="1736" w:type="dxa"/>
            <w:tcBorders>
              <w:top w:val="single" w:sz="4" w:space="0" w:color="auto"/>
              <w:bottom w:val="single" w:sz="4" w:space="0" w:color="auto"/>
            </w:tcBorders>
            <w:shd w:val="clear" w:color="auto" w:fill="92D050"/>
            <w:vAlign w:val="center"/>
            <w:hideMark/>
          </w:tcPr>
          <w:p w14:paraId="21E4C6B5" w14:textId="77777777" w:rsidR="00290F9E" w:rsidRPr="001A2FAD" w:rsidRDefault="00290F9E" w:rsidP="00F27B21">
            <w:pPr>
              <w:spacing w:line="240" w:lineRule="auto"/>
              <w:jc w:val="center"/>
              <w:rPr>
                <w:rFonts w:ascii="Times New Roman" w:hAnsi="Times New Roman" w:cs="Times New Roman"/>
                <w:b/>
              </w:rPr>
            </w:pPr>
            <w:r w:rsidRPr="001A2FAD">
              <w:rPr>
                <w:rFonts w:ascii="Times New Roman" w:hAnsi="Times New Roman" w:cs="Times New Roman"/>
                <w:b/>
              </w:rPr>
              <w:t>Unit</w:t>
            </w:r>
          </w:p>
        </w:tc>
        <w:tc>
          <w:tcPr>
            <w:tcW w:w="2045" w:type="dxa"/>
            <w:tcBorders>
              <w:top w:val="single" w:sz="4" w:space="0" w:color="auto"/>
              <w:bottom w:val="single" w:sz="4" w:space="0" w:color="auto"/>
            </w:tcBorders>
            <w:shd w:val="clear" w:color="auto" w:fill="92D050"/>
            <w:vAlign w:val="center"/>
            <w:hideMark/>
          </w:tcPr>
          <w:p w14:paraId="60A7C101" w14:textId="77777777" w:rsidR="00290F9E" w:rsidRPr="001A2FAD" w:rsidRDefault="00290F9E" w:rsidP="00F27B21">
            <w:pPr>
              <w:spacing w:line="240" w:lineRule="auto"/>
              <w:jc w:val="center"/>
              <w:rPr>
                <w:rFonts w:ascii="Times New Roman" w:hAnsi="Times New Roman" w:cs="Times New Roman"/>
                <w:b/>
              </w:rPr>
            </w:pPr>
            <w:r w:rsidRPr="001A2FAD">
              <w:rPr>
                <w:rFonts w:ascii="Times New Roman" w:hAnsi="Times New Roman" w:cs="Times New Roman"/>
                <w:b/>
              </w:rPr>
              <w:t>Value</w:t>
            </w:r>
          </w:p>
        </w:tc>
      </w:tr>
      <w:tr w:rsidR="00290F9E" w:rsidRPr="001A2FAD" w14:paraId="027863E9" w14:textId="77777777" w:rsidTr="00F27B21">
        <w:trPr>
          <w:trHeight w:val="224"/>
        </w:trPr>
        <w:tc>
          <w:tcPr>
            <w:tcW w:w="4864" w:type="dxa"/>
            <w:tcBorders>
              <w:top w:val="single" w:sz="4" w:space="0" w:color="auto"/>
            </w:tcBorders>
            <w:shd w:val="clear" w:color="auto" w:fill="auto"/>
            <w:vAlign w:val="center"/>
            <w:hideMark/>
          </w:tcPr>
          <w:p w14:paraId="1A659587" w14:textId="77777777" w:rsidR="00290F9E" w:rsidRPr="001A2FAD" w:rsidRDefault="00290F9E" w:rsidP="001A2FAD">
            <w:pPr>
              <w:spacing w:line="240" w:lineRule="auto"/>
              <w:jc w:val="both"/>
              <w:rPr>
                <w:rFonts w:ascii="Times New Roman" w:hAnsi="Times New Roman" w:cs="Times New Roman"/>
              </w:rPr>
            </w:pPr>
            <w:r w:rsidRPr="001A2FAD">
              <w:rPr>
                <w:rFonts w:ascii="Times New Roman" w:hAnsi="Times New Roman" w:cs="Times New Roman"/>
              </w:rPr>
              <w:t>Gross Revenue</w:t>
            </w:r>
          </w:p>
        </w:tc>
        <w:tc>
          <w:tcPr>
            <w:tcW w:w="1736" w:type="dxa"/>
            <w:tcBorders>
              <w:top w:val="single" w:sz="4" w:space="0" w:color="auto"/>
            </w:tcBorders>
            <w:shd w:val="clear" w:color="auto" w:fill="auto"/>
            <w:vAlign w:val="center"/>
            <w:hideMark/>
          </w:tcPr>
          <w:p w14:paraId="46262925" w14:textId="77777777" w:rsidR="00290F9E" w:rsidRPr="001A2FAD" w:rsidRDefault="00290F9E" w:rsidP="00F27B21">
            <w:pPr>
              <w:spacing w:line="240" w:lineRule="auto"/>
              <w:jc w:val="center"/>
              <w:rPr>
                <w:rFonts w:ascii="Times New Roman" w:hAnsi="Times New Roman" w:cs="Times New Roman"/>
              </w:rPr>
            </w:pPr>
            <w:r w:rsidRPr="001A2FAD">
              <w:rPr>
                <w:rFonts w:ascii="Times New Roman" w:hAnsi="Times New Roman" w:cs="Times New Roman"/>
              </w:rPr>
              <w:t>ETB ha⁻¹</w:t>
            </w:r>
          </w:p>
        </w:tc>
        <w:tc>
          <w:tcPr>
            <w:tcW w:w="2045" w:type="dxa"/>
            <w:tcBorders>
              <w:top w:val="single" w:sz="4" w:space="0" w:color="auto"/>
            </w:tcBorders>
            <w:shd w:val="clear" w:color="auto" w:fill="auto"/>
            <w:vAlign w:val="center"/>
            <w:hideMark/>
          </w:tcPr>
          <w:p w14:paraId="410546C2" w14:textId="77777777" w:rsidR="00290F9E" w:rsidRPr="001A2FAD" w:rsidRDefault="00290F9E" w:rsidP="00F27B21">
            <w:pPr>
              <w:spacing w:line="240" w:lineRule="auto"/>
              <w:jc w:val="center"/>
              <w:rPr>
                <w:rFonts w:ascii="Times New Roman" w:hAnsi="Times New Roman" w:cs="Times New Roman"/>
              </w:rPr>
            </w:pPr>
            <w:r w:rsidRPr="001A2FAD">
              <w:rPr>
                <w:rFonts w:ascii="Times New Roman" w:hAnsi="Times New Roman" w:cs="Times New Roman"/>
              </w:rPr>
              <w:t>1,120,000</w:t>
            </w:r>
          </w:p>
        </w:tc>
      </w:tr>
      <w:tr w:rsidR="00290F9E" w:rsidRPr="001A2FAD" w14:paraId="6F6AC95A" w14:textId="77777777" w:rsidTr="00F27B21">
        <w:trPr>
          <w:trHeight w:val="224"/>
        </w:trPr>
        <w:tc>
          <w:tcPr>
            <w:tcW w:w="4864" w:type="dxa"/>
            <w:shd w:val="clear" w:color="auto" w:fill="auto"/>
            <w:vAlign w:val="center"/>
            <w:hideMark/>
          </w:tcPr>
          <w:p w14:paraId="5F9D968B" w14:textId="77777777" w:rsidR="00290F9E" w:rsidRPr="001A2FAD" w:rsidRDefault="00290F9E" w:rsidP="001A2FAD">
            <w:pPr>
              <w:spacing w:line="240" w:lineRule="auto"/>
              <w:jc w:val="both"/>
              <w:rPr>
                <w:rFonts w:ascii="Times New Roman" w:hAnsi="Times New Roman" w:cs="Times New Roman"/>
              </w:rPr>
            </w:pPr>
            <w:r w:rsidRPr="001A2FAD">
              <w:rPr>
                <w:rFonts w:ascii="Times New Roman" w:hAnsi="Times New Roman" w:cs="Times New Roman"/>
              </w:rPr>
              <w:t>Total Cost</w:t>
            </w:r>
          </w:p>
        </w:tc>
        <w:tc>
          <w:tcPr>
            <w:tcW w:w="1736" w:type="dxa"/>
            <w:shd w:val="clear" w:color="auto" w:fill="auto"/>
            <w:vAlign w:val="center"/>
            <w:hideMark/>
          </w:tcPr>
          <w:p w14:paraId="3BA5357B" w14:textId="77777777" w:rsidR="00290F9E" w:rsidRPr="001A2FAD" w:rsidRDefault="00290F9E" w:rsidP="00F27B21">
            <w:pPr>
              <w:spacing w:line="240" w:lineRule="auto"/>
              <w:jc w:val="center"/>
              <w:rPr>
                <w:rFonts w:ascii="Times New Roman" w:hAnsi="Times New Roman" w:cs="Times New Roman"/>
              </w:rPr>
            </w:pPr>
            <w:r w:rsidRPr="001A2FAD">
              <w:rPr>
                <w:rFonts w:ascii="Times New Roman" w:hAnsi="Times New Roman" w:cs="Times New Roman"/>
              </w:rPr>
              <w:t>ETB ha⁻¹</w:t>
            </w:r>
          </w:p>
        </w:tc>
        <w:tc>
          <w:tcPr>
            <w:tcW w:w="2045" w:type="dxa"/>
            <w:shd w:val="clear" w:color="auto" w:fill="auto"/>
            <w:vAlign w:val="center"/>
            <w:hideMark/>
          </w:tcPr>
          <w:p w14:paraId="4C017824" w14:textId="77777777" w:rsidR="00290F9E" w:rsidRPr="001A2FAD" w:rsidRDefault="00290F9E" w:rsidP="00F27B21">
            <w:pPr>
              <w:spacing w:line="240" w:lineRule="auto"/>
              <w:jc w:val="center"/>
              <w:rPr>
                <w:rFonts w:ascii="Times New Roman" w:hAnsi="Times New Roman" w:cs="Times New Roman"/>
              </w:rPr>
            </w:pPr>
            <w:r w:rsidRPr="001A2FAD">
              <w:rPr>
                <w:rFonts w:ascii="Times New Roman" w:hAnsi="Times New Roman" w:cs="Times New Roman"/>
              </w:rPr>
              <w:t>646,880</w:t>
            </w:r>
          </w:p>
        </w:tc>
      </w:tr>
      <w:tr w:rsidR="00290F9E" w:rsidRPr="001A2FAD" w14:paraId="2C775587" w14:textId="77777777" w:rsidTr="00F27B21">
        <w:trPr>
          <w:trHeight w:val="224"/>
        </w:trPr>
        <w:tc>
          <w:tcPr>
            <w:tcW w:w="4864" w:type="dxa"/>
            <w:shd w:val="clear" w:color="auto" w:fill="auto"/>
            <w:vAlign w:val="center"/>
            <w:hideMark/>
          </w:tcPr>
          <w:p w14:paraId="6EBB7E73" w14:textId="77777777" w:rsidR="00290F9E" w:rsidRPr="00C31B29" w:rsidRDefault="00290F9E" w:rsidP="001A2FAD">
            <w:pPr>
              <w:spacing w:line="240" w:lineRule="auto"/>
              <w:jc w:val="both"/>
              <w:rPr>
                <w:rFonts w:ascii="Times New Roman" w:hAnsi="Times New Roman" w:cs="Times New Roman"/>
              </w:rPr>
            </w:pPr>
            <w:r w:rsidRPr="00C31B29">
              <w:rPr>
                <w:rFonts w:ascii="Times New Roman" w:hAnsi="Times New Roman" w:cs="Times New Roman"/>
              </w:rPr>
              <w:t>Net Return</w:t>
            </w:r>
          </w:p>
        </w:tc>
        <w:tc>
          <w:tcPr>
            <w:tcW w:w="1736" w:type="dxa"/>
            <w:shd w:val="clear" w:color="auto" w:fill="auto"/>
            <w:vAlign w:val="center"/>
            <w:hideMark/>
          </w:tcPr>
          <w:p w14:paraId="29EEEC41" w14:textId="77777777" w:rsidR="00290F9E" w:rsidRPr="00C31B29" w:rsidRDefault="00290F9E" w:rsidP="00F27B21">
            <w:pPr>
              <w:spacing w:line="240" w:lineRule="auto"/>
              <w:jc w:val="center"/>
              <w:rPr>
                <w:rFonts w:ascii="Times New Roman" w:hAnsi="Times New Roman" w:cs="Times New Roman"/>
              </w:rPr>
            </w:pPr>
            <w:r w:rsidRPr="00C31B29">
              <w:rPr>
                <w:rFonts w:ascii="Times New Roman" w:hAnsi="Times New Roman" w:cs="Times New Roman"/>
              </w:rPr>
              <w:t>ETB ha⁻¹</w:t>
            </w:r>
          </w:p>
        </w:tc>
        <w:tc>
          <w:tcPr>
            <w:tcW w:w="2045" w:type="dxa"/>
            <w:shd w:val="clear" w:color="auto" w:fill="auto"/>
            <w:vAlign w:val="center"/>
            <w:hideMark/>
          </w:tcPr>
          <w:p w14:paraId="4DEA316F" w14:textId="77777777" w:rsidR="00290F9E" w:rsidRPr="00C31B29" w:rsidRDefault="00290F9E" w:rsidP="00F27B21">
            <w:pPr>
              <w:spacing w:line="240" w:lineRule="auto"/>
              <w:jc w:val="center"/>
              <w:rPr>
                <w:rFonts w:ascii="Times New Roman" w:hAnsi="Times New Roman" w:cs="Times New Roman"/>
              </w:rPr>
            </w:pPr>
            <w:r w:rsidRPr="00C31B29">
              <w:rPr>
                <w:rFonts w:ascii="Times New Roman" w:hAnsi="Times New Roman" w:cs="Times New Roman"/>
              </w:rPr>
              <w:t>473,120</w:t>
            </w:r>
          </w:p>
        </w:tc>
      </w:tr>
      <w:tr w:rsidR="00290F9E" w:rsidRPr="001A2FAD" w14:paraId="5511DA4B" w14:textId="77777777" w:rsidTr="00F27B21">
        <w:trPr>
          <w:trHeight w:val="224"/>
        </w:trPr>
        <w:tc>
          <w:tcPr>
            <w:tcW w:w="4864" w:type="dxa"/>
            <w:shd w:val="clear" w:color="auto" w:fill="auto"/>
            <w:vAlign w:val="center"/>
            <w:hideMark/>
          </w:tcPr>
          <w:p w14:paraId="0C877C3C" w14:textId="77777777" w:rsidR="00290F9E" w:rsidRPr="001A2FAD" w:rsidRDefault="00290F9E" w:rsidP="001A2FAD">
            <w:pPr>
              <w:spacing w:line="240" w:lineRule="auto"/>
              <w:jc w:val="both"/>
              <w:rPr>
                <w:rFonts w:ascii="Times New Roman" w:hAnsi="Times New Roman" w:cs="Times New Roman"/>
              </w:rPr>
            </w:pPr>
            <w:r w:rsidRPr="001A2FAD">
              <w:rPr>
                <w:rFonts w:ascii="Times New Roman" w:hAnsi="Times New Roman" w:cs="Times New Roman"/>
              </w:rPr>
              <w:t>Return on Investment (ROI)</w:t>
            </w:r>
          </w:p>
        </w:tc>
        <w:tc>
          <w:tcPr>
            <w:tcW w:w="1736" w:type="dxa"/>
            <w:shd w:val="clear" w:color="auto" w:fill="auto"/>
            <w:vAlign w:val="center"/>
            <w:hideMark/>
          </w:tcPr>
          <w:p w14:paraId="44B5C73D" w14:textId="77777777" w:rsidR="00290F9E" w:rsidRPr="001A2FAD" w:rsidRDefault="00290F9E" w:rsidP="00F27B21">
            <w:pPr>
              <w:spacing w:line="240" w:lineRule="auto"/>
              <w:jc w:val="center"/>
              <w:rPr>
                <w:rFonts w:ascii="Times New Roman" w:hAnsi="Times New Roman" w:cs="Times New Roman"/>
              </w:rPr>
            </w:pPr>
            <w:r w:rsidRPr="001A2FAD">
              <w:rPr>
                <w:rFonts w:ascii="Times New Roman" w:hAnsi="Times New Roman" w:cs="Times New Roman"/>
              </w:rPr>
              <w:t>%</w:t>
            </w:r>
          </w:p>
        </w:tc>
        <w:tc>
          <w:tcPr>
            <w:tcW w:w="2045" w:type="dxa"/>
            <w:shd w:val="clear" w:color="auto" w:fill="auto"/>
            <w:vAlign w:val="center"/>
            <w:hideMark/>
          </w:tcPr>
          <w:p w14:paraId="0CA946E8" w14:textId="77777777" w:rsidR="00290F9E" w:rsidRPr="001A2FAD" w:rsidRDefault="00290F9E" w:rsidP="00F27B21">
            <w:pPr>
              <w:spacing w:line="240" w:lineRule="auto"/>
              <w:jc w:val="center"/>
              <w:rPr>
                <w:rFonts w:ascii="Times New Roman" w:hAnsi="Times New Roman" w:cs="Times New Roman"/>
              </w:rPr>
            </w:pPr>
            <w:r w:rsidRPr="001A2FAD">
              <w:rPr>
                <w:rFonts w:ascii="Times New Roman" w:hAnsi="Times New Roman" w:cs="Times New Roman"/>
              </w:rPr>
              <w:t>73.14</w:t>
            </w:r>
          </w:p>
        </w:tc>
      </w:tr>
      <w:tr w:rsidR="00290F9E" w:rsidRPr="001A2FAD" w14:paraId="1A8138A0" w14:textId="77777777" w:rsidTr="00F27B21">
        <w:trPr>
          <w:trHeight w:val="224"/>
        </w:trPr>
        <w:tc>
          <w:tcPr>
            <w:tcW w:w="4864" w:type="dxa"/>
            <w:shd w:val="clear" w:color="auto" w:fill="auto"/>
            <w:vAlign w:val="center"/>
            <w:hideMark/>
          </w:tcPr>
          <w:p w14:paraId="28F048F0" w14:textId="77777777" w:rsidR="00290F9E" w:rsidRPr="001A2FAD" w:rsidRDefault="00290F9E" w:rsidP="001A2FAD">
            <w:pPr>
              <w:spacing w:line="240" w:lineRule="auto"/>
              <w:jc w:val="both"/>
              <w:rPr>
                <w:rFonts w:ascii="Times New Roman" w:hAnsi="Times New Roman" w:cs="Times New Roman"/>
              </w:rPr>
            </w:pPr>
            <w:r w:rsidRPr="001A2FAD">
              <w:rPr>
                <w:rFonts w:ascii="Times New Roman" w:hAnsi="Times New Roman" w:cs="Times New Roman"/>
              </w:rPr>
              <w:t>Profitability Index (PI)</w:t>
            </w:r>
          </w:p>
        </w:tc>
        <w:tc>
          <w:tcPr>
            <w:tcW w:w="1736" w:type="dxa"/>
            <w:shd w:val="clear" w:color="auto" w:fill="auto"/>
            <w:vAlign w:val="center"/>
            <w:hideMark/>
          </w:tcPr>
          <w:p w14:paraId="252AE2ED" w14:textId="77777777" w:rsidR="00290F9E" w:rsidRPr="001A2FAD" w:rsidRDefault="00290F9E" w:rsidP="00F27B21">
            <w:pPr>
              <w:spacing w:line="240" w:lineRule="auto"/>
              <w:jc w:val="center"/>
              <w:rPr>
                <w:rFonts w:ascii="Times New Roman" w:hAnsi="Times New Roman" w:cs="Times New Roman"/>
              </w:rPr>
            </w:pPr>
            <w:r w:rsidRPr="001A2FAD">
              <w:rPr>
                <w:rFonts w:ascii="Times New Roman" w:hAnsi="Times New Roman" w:cs="Times New Roman"/>
              </w:rPr>
              <w:t>Ratio</w:t>
            </w:r>
          </w:p>
        </w:tc>
        <w:tc>
          <w:tcPr>
            <w:tcW w:w="2045" w:type="dxa"/>
            <w:shd w:val="clear" w:color="auto" w:fill="auto"/>
            <w:vAlign w:val="center"/>
            <w:hideMark/>
          </w:tcPr>
          <w:p w14:paraId="7950595D" w14:textId="77777777" w:rsidR="00290F9E" w:rsidRPr="001A2FAD" w:rsidRDefault="00290F9E" w:rsidP="00F27B21">
            <w:pPr>
              <w:spacing w:line="240" w:lineRule="auto"/>
              <w:jc w:val="center"/>
              <w:rPr>
                <w:rFonts w:ascii="Times New Roman" w:hAnsi="Times New Roman" w:cs="Times New Roman"/>
              </w:rPr>
            </w:pPr>
            <w:r w:rsidRPr="001A2FAD">
              <w:rPr>
                <w:rFonts w:ascii="Times New Roman" w:hAnsi="Times New Roman" w:cs="Times New Roman"/>
              </w:rPr>
              <w:t>1.73</w:t>
            </w:r>
          </w:p>
        </w:tc>
      </w:tr>
      <w:tr w:rsidR="001777D4" w:rsidRPr="001A2FAD" w14:paraId="387905C2" w14:textId="77777777" w:rsidTr="00F27B21">
        <w:trPr>
          <w:trHeight w:val="224"/>
        </w:trPr>
        <w:tc>
          <w:tcPr>
            <w:tcW w:w="4864" w:type="dxa"/>
            <w:shd w:val="clear" w:color="auto" w:fill="auto"/>
            <w:vAlign w:val="center"/>
          </w:tcPr>
          <w:p w14:paraId="39BCF9E9" w14:textId="032C77D2" w:rsidR="001777D4" w:rsidRPr="001A2FAD" w:rsidRDefault="001777D4" w:rsidP="001777D4">
            <w:pPr>
              <w:spacing w:line="240" w:lineRule="auto"/>
              <w:jc w:val="both"/>
              <w:rPr>
                <w:rFonts w:ascii="Times New Roman" w:hAnsi="Times New Roman" w:cs="Times New Roman"/>
              </w:rPr>
            </w:pPr>
            <w:r w:rsidRPr="001777D4">
              <w:rPr>
                <w:rFonts w:ascii="Times New Roman" w:hAnsi="Times New Roman" w:cs="Times New Roman"/>
              </w:rPr>
              <w:t>Input–Output Ratio (IOR)</w:t>
            </w:r>
          </w:p>
        </w:tc>
        <w:tc>
          <w:tcPr>
            <w:tcW w:w="1736" w:type="dxa"/>
            <w:shd w:val="clear" w:color="auto" w:fill="auto"/>
            <w:vAlign w:val="center"/>
          </w:tcPr>
          <w:p w14:paraId="21CC2A0D" w14:textId="7FAE879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Ratio</w:t>
            </w:r>
          </w:p>
        </w:tc>
        <w:tc>
          <w:tcPr>
            <w:tcW w:w="2045" w:type="dxa"/>
            <w:shd w:val="clear" w:color="auto" w:fill="auto"/>
            <w:vAlign w:val="center"/>
          </w:tcPr>
          <w:p w14:paraId="3075F65C" w14:textId="65949A5F"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1.73</w:t>
            </w:r>
          </w:p>
        </w:tc>
      </w:tr>
      <w:tr w:rsidR="001777D4" w:rsidRPr="001A2FAD" w14:paraId="5DAD3CD8" w14:textId="77777777" w:rsidTr="00F27B21">
        <w:trPr>
          <w:trHeight w:val="224"/>
        </w:trPr>
        <w:tc>
          <w:tcPr>
            <w:tcW w:w="4864" w:type="dxa"/>
            <w:shd w:val="clear" w:color="auto" w:fill="auto"/>
            <w:vAlign w:val="center"/>
            <w:hideMark/>
          </w:tcPr>
          <w:p w14:paraId="6A662511" w14:textId="77777777" w:rsidR="001777D4" w:rsidRPr="001A2FAD" w:rsidRDefault="001777D4" w:rsidP="001777D4">
            <w:pPr>
              <w:spacing w:line="240" w:lineRule="auto"/>
              <w:jc w:val="both"/>
              <w:rPr>
                <w:rFonts w:ascii="Times New Roman" w:hAnsi="Times New Roman" w:cs="Times New Roman"/>
              </w:rPr>
            </w:pPr>
            <w:r w:rsidRPr="001A2FAD">
              <w:rPr>
                <w:rFonts w:ascii="Times New Roman" w:hAnsi="Times New Roman" w:cs="Times New Roman"/>
              </w:rPr>
              <w:t>Net Return per Birr Invested</w:t>
            </w:r>
          </w:p>
        </w:tc>
        <w:tc>
          <w:tcPr>
            <w:tcW w:w="1736" w:type="dxa"/>
            <w:shd w:val="clear" w:color="auto" w:fill="auto"/>
            <w:vAlign w:val="center"/>
            <w:hideMark/>
          </w:tcPr>
          <w:p w14:paraId="6BA9004C"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ETB ETB⁻¹</w:t>
            </w:r>
          </w:p>
        </w:tc>
        <w:tc>
          <w:tcPr>
            <w:tcW w:w="2045" w:type="dxa"/>
            <w:shd w:val="clear" w:color="auto" w:fill="auto"/>
            <w:vAlign w:val="center"/>
            <w:hideMark/>
          </w:tcPr>
          <w:p w14:paraId="4D7D5EDE"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0.73</w:t>
            </w:r>
          </w:p>
        </w:tc>
      </w:tr>
      <w:tr w:rsidR="001777D4" w:rsidRPr="001A2FAD" w14:paraId="3361B41D" w14:textId="77777777" w:rsidTr="00F27B21">
        <w:trPr>
          <w:trHeight w:val="224"/>
        </w:trPr>
        <w:tc>
          <w:tcPr>
            <w:tcW w:w="4864" w:type="dxa"/>
            <w:shd w:val="clear" w:color="auto" w:fill="auto"/>
            <w:vAlign w:val="center"/>
            <w:hideMark/>
          </w:tcPr>
          <w:p w14:paraId="5A040E46" w14:textId="77777777" w:rsidR="001777D4" w:rsidRPr="001A2FAD" w:rsidRDefault="001777D4" w:rsidP="001777D4">
            <w:pPr>
              <w:spacing w:line="240" w:lineRule="auto"/>
              <w:jc w:val="both"/>
              <w:rPr>
                <w:rFonts w:ascii="Times New Roman" w:hAnsi="Times New Roman" w:cs="Times New Roman"/>
              </w:rPr>
            </w:pPr>
            <w:r w:rsidRPr="001A2FAD">
              <w:rPr>
                <w:rFonts w:ascii="Times New Roman" w:hAnsi="Times New Roman" w:cs="Times New Roman"/>
              </w:rPr>
              <w:t>Break-Even Yield</w:t>
            </w:r>
          </w:p>
        </w:tc>
        <w:tc>
          <w:tcPr>
            <w:tcW w:w="1736" w:type="dxa"/>
            <w:shd w:val="clear" w:color="auto" w:fill="auto"/>
            <w:vAlign w:val="center"/>
            <w:hideMark/>
          </w:tcPr>
          <w:p w14:paraId="68A46B2B"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t ha⁻¹</w:t>
            </w:r>
          </w:p>
        </w:tc>
        <w:tc>
          <w:tcPr>
            <w:tcW w:w="2045" w:type="dxa"/>
            <w:shd w:val="clear" w:color="auto" w:fill="auto"/>
            <w:vAlign w:val="center"/>
            <w:hideMark/>
          </w:tcPr>
          <w:p w14:paraId="06B0455D"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16.17</w:t>
            </w:r>
          </w:p>
        </w:tc>
      </w:tr>
      <w:tr w:rsidR="001777D4" w:rsidRPr="001A2FAD" w14:paraId="473DBFA9" w14:textId="77777777" w:rsidTr="00F27B21">
        <w:trPr>
          <w:trHeight w:val="224"/>
        </w:trPr>
        <w:tc>
          <w:tcPr>
            <w:tcW w:w="4864" w:type="dxa"/>
            <w:shd w:val="clear" w:color="auto" w:fill="auto"/>
            <w:vAlign w:val="center"/>
            <w:hideMark/>
          </w:tcPr>
          <w:p w14:paraId="46478045" w14:textId="77777777" w:rsidR="001777D4" w:rsidRPr="001A2FAD" w:rsidRDefault="001777D4" w:rsidP="001777D4">
            <w:pPr>
              <w:spacing w:line="240" w:lineRule="auto"/>
              <w:jc w:val="both"/>
              <w:rPr>
                <w:rFonts w:ascii="Times New Roman" w:hAnsi="Times New Roman" w:cs="Times New Roman"/>
              </w:rPr>
            </w:pPr>
            <w:r w:rsidRPr="001A2FAD">
              <w:rPr>
                <w:rFonts w:ascii="Times New Roman" w:hAnsi="Times New Roman" w:cs="Times New Roman"/>
              </w:rPr>
              <w:t>Break-Even Price</w:t>
            </w:r>
          </w:p>
        </w:tc>
        <w:tc>
          <w:tcPr>
            <w:tcW w:w="1736" w:type="dxa"/>
            <w:shd w:val="clear" w:color="auto" w:fill="auto"/>
            <w:vAlign w:val="center"/>
            <w:hideMark/>
          </w:tcPr>
          <w:p w14:paraId="4010B8B3"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ETB kg⁻¹</w:t>
            </w:r>
          </w:p>
        </w:tc>
        <w:tc>
          <w:tcPr>
            <w:tcW w:w="2045" w:type="dxa"/>
            <w:shd w:val="clear" w:color="auto" w:fill="auto"/>
            <w:vAlign w:val="center"/>
            <w:hideMark/>
          </w:tcPr>
          <w:p w14:paraId="5C8A7880"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23.1</w:t>
            </w:r>
          </w:p>
        </w:tc>
      </w:tr>
      <w:tr w:rsidR="001777D4" w:rsidRPr="001A2FAD" w14:paraId="4626DEF7" w14:textId="77777777" w:rsidTr="00F27B21">
        <w:trPr>
          <w:trHeight w:val="224"/>
        </w:trPr>
        <w:tc>
          <w:tcPr>
            <w:tcW w:w="4864" w:type="dxa"/>
            <w:shd w:val="clear" w:color="auto" w:fill="auto"/>
            <w:vAlign w:val="center"/>
            <w:hideMark/>
          </w:tcPr>
          <w:p w14:paraId="26EE8539" w14:textId="77777777" w:rsidR="001777D4" w:rsidRPr="001A2FAD" w:rsidRDefault="001777D4" w:rsidP="001777D4">
            <w:pPr>
              <w:spacing w:line="240" w:lineRule="auto"/>
              <w:jc w:val="both"/>
              <w:rPr>
                <w:rFonts w:ascii="Times New Roman" w:hAnsi="Times New Roman" w:cs="Times New Roman"/>
              </w:rPr>
            </w:pPr>
            <w:r w:rsidRPr="001A2FAD">
              <w:rPr>
                <w:rFonts w:ascii="Times New Roman" w:hAnsi="Times New Roman" w:cs="Times New Roman"/>
              </w:rPr>
              <w:t>Margin of Safety (Yield)</w:t>
            </w:r>
          </w:p>
        </w:tc>
        <w:tc>
          <w:tcPr>
            <w:tcW w:w="1736" w:type="dxa"/>
            <w:shd w:val="clear" w:color="auto" w:fill="auto"/>
            <w:vAlign w:val="center"/>
            <w:hideMark/>
          </w:tcPr>
          <w:p w14:paraId="2779927B"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w:t>
            </w:r>
          </w:p>
        </w:tc>
        <w:tc>
          <w:tcPr>
            <w:tcW w:w="2045" w:type="dxa"/>
            <w:shd w:val="clear" w:color="auto" w:fill="auto"/>
            <w:vAlign w:val="center"/>
            <w:hideMark/>
          </w:tcPr>
          <w:p w14:paraId="7DF54A0D"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42.24</w:t>
            </w:r>
          </w:p>
        </w:tc>
      </w:tr>
      <w:tr w:rsidR="001777D4" w:rsidRPr="001A2FAD" w14:paraId="4D508AD5" w14:textId="77777777" w:rsidTr="00F27B21">
        <w:trPr>
          <w:trHeight w:val="224"/>
        </w:trPr>
        <w:tc>
          <w:tcPr>
            <w:tcW w:w="4864" w:type="dxa"/>
            <w:shd w:val="clear" w:color="auto" w:fill="auto"/>
            <w:vAlign w:val="center"/>
            <w:hideMark/>
          </w:tcPr>
          <w:p w14:paraId="5C448883" w14:textId="77777777" w:rsidR="001777D4" w:rsidRPr="001A2FAD" w:rsidRDefault="001777D4" w:rsidP="001777D4">
            <w:pPr>
              <w:spacing w:line="240" w:lineRule="auto"/>
              <w:jc w:val="both"/>
              <w:rPr>
                <w:rFonts w:ascii="Times New Roman" w:hAnsi="Times New Roman" w:cs="Times New Roman"/>
              </w:rPr>
            </w:pPr>
            <w:r w:rsidRPr="001A2FAD">
              <w:rPr>
                <w:rFonts w:ascii="Times New Roman" w:hAnsi="Times New Roman" w:cs="Times New Roman"/>
              </w:rPr>
              <w:t>Margin of Safety (Price)</w:t>
            </w:r>
          </w:p>
        </w:tc>
        <w:tc>
          <w:tcPr>
            <w:tcW w:w="1736" w:type="dxa"/>
            <w:shd w:val="clear" w:color="auto" w:fill="auto"/>
            <w:vAlign w:val="center"/>
            <w:hideMark/>
          </w:tcPr>
          <w:p w14:paraId="4C36012D"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w:t>
            </w:r>
          </w:p>
        </w:tc>
        <w:tc>
          <w:tcPr>
            <w:tcW w:w="2045" w:type="dxa"/>
            <w:shd w:val="clear" w:color="auto" w:fill="auto"/>
            <w:vAlign w:val="center"/>
            <w:hideMark/>
          </w:tcPr>
          <w:p w14:paraId="4ED7F14A"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42.25</w:t>
            </w:r>
          </w:p>
        </w:tc>
      </w:tr>
      <w:tr w:rsidR="001777D4" w:rsidRPr="001A2FAD" w14:paraId="15339B4F" w14:textId="77777777" w:rsidTr="00F27B21">
        <w:trPr>
          <w:trHeight w:val="224"/>
        </w:trPr>
        <w:tc>
          <w:tcPr>
            <w:tcW w:w="4864" w:type="dxa"/>
            <w:shd w:val="clear" w:color="auto" w:fill="auto"/>
            <w:vAlign w:val="center"/>
            <w:hideMark/>
          </w:tcPr>
          <w:p w14:paraId="25EAFD40" w14:textId="77777777" w:rsidR="001777D4" w:rsidRPr="001A2FAD" w:rsidRDefault="001777D4" w:rsidP="001777D4">
            <w:pPr>
              <w:spacing w:line="240" w:lineRule="auto"/>
              <w:jc w:val="both"/>
              <w:rPr>
                <w:rFonts w:ascii="Times New Roman" w:hAnsi="Times New Roman" w:cs="Times New Roman"/>
              </w:rPr>
            </w:pPr>
            <w:r w:rsidRPr="001A2FAD">
              <w:rPr>
                <w:rFonts w:ascii="Times New Roman" w:hAnsi="Times New Roman" w:cs="Times New Roman"/>
              </w:rPr>
              <w:t>Payback Period</w:t>
            </w:r>
          </w:p>
        </w:tc>
        <w:tc>
          <w:tcPr>
            <w:tcW w:w="1736" w:type="dxa"/>
            <w:shd w:val="clear" w:color="auto" w:fill="auto"/>
            <w:vAlign w:val="center"/>
            <w:hideMark/>
          </w:tcPr>
          <w:p w14:paraId="43023AFE"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Seasons</w:t>
            </w:r>
          </w:p>
        </w:tc>
        <w:tc>
          <w:tcPr>
            <w:tcW w:w="2045" w:type="dxa"/>
            <w:shd w:val="clear" w:color="auto" w:fill="auto"/>
            <w:vAlign w:val="center"/>
            <w:hideMark/>
          </w:tcPr>
          <w:p w14:paraId="479E0BB3"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1.37</w:t>
            </w:r>
          </w:p>
        </w:tc>
      </w:tr>
      <w:tr w:rsidR="001777D4" w:rsidRPr="001A2FAD" w14:paraId="3B900478" w14:textId="77777777" w:rsidTr="00F27B21">
        <w:trPr>
          <w:trHeight w:val="224"/>
        </w:trPr>
        <w:tc>
          <w:tcPr>
            <w:tcW w:w="4864" w:type="dxa"/>
            <w:tcBorders>
              <w:bottom w:val="single" w:sz="4" w:space="0" w:color="auto"/>
            </w:tcBorders>
            <w:shd w:val="clear" w:color="auto" w:fill="auto"/>
            <w:vAlign w:val="center"/>
            <w:hideMark/>
          </w:tcPr>
          <w:p w14:paraId="77D9F1E6" w14:textId="77777777" w:rsidR="001777D4" w:rsidRPr="001A2FAD" w:rsidRDefault="001777D4" w:rsidP="001777D4">
            <w:pPr>
              <w:spacing w:line="240" w:lineRule="auto"/>
              <w:jc w:val="both"/>
              <w:rPr>
                <w:rFonts w:ascii="Times New Roman" w:hAnsi="Times New Roman" w:cs="Times New Roman"/>
              </w:rPr>
            </w:pPr>
            <w:r w:rsidRPr="001A2FAD">
              <w:rPr>
                <w:rFonts w:ascii="Times New Roman" w:hAnsi="Times New Roman" w:cs="Times New Roman"/>
              </w:rPr>
              <w:t>Investment Attractiveness</w:t>
            </w:r>
          </w:p>
        </w:tc>
        <w:tc>
          <w:tcPr>
            <w:tcW w:w="1736" w:type="dxa"/>
            <w:tcBorders>
              <w:bottom w:val="single" w:sz="4" w:space="0" w:color="auto"/>
            </w:tcBorders>
            <w:shd w:val="clear" w:color="auto" w:fill="auto"/>
            <w:vAlign w:val="center"/>
            <w:hideMark/>
          </w:tcPr>
          <w:p w14:paraId="7F21FA57"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Rating</w:t>
            </w:r>
          </w:p>
        </w:tc>
        <w:tc>
          <w:tcPr>
            <w:tcW w:w="2045" w:type="dxa"/>
            <w:tcBorders>
              <w:bottom w:val="single" w:sz="4" w:space="0" w:color="auto"/>
            </w:tcBorders>
            <w:shd w:val="clear" w:color="auto" w:fill="auto"/>
            <w:vAlign w:val="center"/>
            <w:hideMark/>
          </w:tcPr>
          <w:p w14:paraId="558DCA20" w14:textId="77777777" w:rsidR="001777D4" w:rsidRPr="001A2FAD" w:rsidRDefault="001777D4" w:rsidP="001777D4">
            <w:pPr>
              <w:spacing w:line="240" w:lineRule="auto"/>
              <w:jc w:val="center"/>
              <w:rPr>
                <w:rFonts w:ascii="Times New Roman" w:hAnsi="Times New Roman" w:cs="Times New Roman"/>
              </w:rPr>
            </w:pPr>
            <w:r w:rsidRPr="001A2FAD">
              <w:rPr>
                <w:rFonts w:ascii="Times New Roman" w:hAnsi="Times New Roman" w:cs="Times New Roman"/>
              </w:rPr>
              <w:t>High</w:t>
            </w:r>
          </w:p>
        </w:tc>
      </w:tr>
    </w:tbl>
    <w:p w14:paraId="37261C10" w14:textId="2237CDFB" w:rsidR="00C5391D" w:rsidRPr="001A2FAD" w:rsidRDefault="00C5391D" w:rsidP="001A2FAD">
      <w:pPr>
        <w:pStyle w:val="Heading1"/>
        <w:spacing w:line="360" w:lineRule="auto"/>
        <w:jc w:val="both"/>
        <w:rPr>
          <w:rFonts w:cs="Times New Roman"/>
          <w:sz w:val="24"/>
          <w:szCs w:val="24"/>
        </w:rPr>
      </w:pPr>
      <w:r w:rsidRPr="001A2FAD">
        <w:rPr>
          <w:rFonts w:cs="Times New Roman"/>
          <w:sz w:val="24"/>
          <w:szCs w:val="24"/>
        </w:rPr>
        <w:t>CONCLUSIONS AND RECOMMENDATIONS</w:t>
      </w:r>
    </w:p>
    <w:p w14:paraId="4C0F704C" w14:textId="77777777" w:rsidR="00C5391D" w:rsidRPr="001A2FAD" w:rsidRDefault="00C5391D" w:rsidP="0030271E">
      <w:pPr>
        <w:pStyle w:val="Heading2"/>
        <w:numPr>
          <w:ilvl w:val="1"/>
          <w:numId w:val="1"/>
        </w:numPr>
        <w:jc w:val="both"/>
        <w:rPr>
          <w:rFonts w:cs="Times New Roman"/>
          <w:szCs w:val="24"/>
        </w:rPr>
      </w:pPr>
      <w:r w:rsidRPr="001A2FAD">
        <w:rPr>
          <w:rFonts w:cs="Times New Roman"/>
          <w:szCs w:val="24"/>
        </w:rPr>
        <w:t>Conclusions</w:t>
      </w:r>
    </w:p>
    <w:p w14:paraId="7B19005A" w14:textId="77777777" w:rsidR="0058633F" w:rsidRPr="001A2FAD" w:rsidRDefault="0058633F" w:rsidP="001A2FAD">
      <w:pPr>
        <w:spacing w:line="360" w:lineRule="auto"/>
        <w:jc w:val="both"/>
        <w:rPr>
          <w:rFonts w:ascii="Times New Roman" w:hAnsi="Times New Roman" w:cs="Times New Roman"/>
          <w:lang w:eastAsia="en-US"/>
        </w:rPr>
      </w:pPr>
      <w:r w:rsidRPr="001A2FAD">
        <w:rPr>
          <w:rFonts w:ascii="Times New Roman" w:hAnsi="Times New Roman" w:cs="Times New Roman"/>
        </w:rPr>
        <w:t>This</w:t>
      </w:r>
      <w:r w:rsidRPr="001A2FAD">
        <w:rPr>
          <w:rFonts w:ascii="Times New Roman" w:hAnsi="Times New Roman" w:cs="Times New Roman"/>
          <w:lang w:eastAsia="en-US"/>
        </w:rPr>
        <w:t xml:space="preserve"> study evaluated the economic performance and feasibility of onion production under irrigated conditions in the Gebiresu Zone of the Afar National Regional State, Ethiopia. The findings demonstrated that irrigated onion production is a profitable and economically viable enterprise. With an average yield of 28 t ha⁻¹ and a farm-gate selling price of 40 ETB kg⁻¹, producers generated a gross revenue of 1,120,000 ETB ha⁻¹ and a net return of 473,120 ETB ha⁻¹. The benefit-cost ratio (1.73), return on investment (73.14%), and break-even yield (16.17 t ha⁻¹) further confirmed the economic attractiveness and financial sustainability of onion production under the prevailing production conditions.</w:t>
      </w:r>
    </w:p>
    <w:p w14:paraId="092F788E" w14:textId="77777777" w:rsidR="0058633F" w:rsidRPr="001A2FAD" w:rsidRDefault="0058633F" w:rsidP="001A2FAD">
      <w:pPr>
        <w:spacing w:line="360" w:lineRule="auto"/>
        <w:jc w:val="both"/>
        <w:rPr>
          <w:rFonts w:ascii="Times New Roman" w:hAnsi="Times New Roman" w:cs="Times New Roman"/>
          <w:lang w:eastAsia="en-US"/>
        </w:rPr>
      </w:pPr>
      <w:r w:rsidRPr="001A2FAD">
        <w:rPr>
          <w:rFonts w:ascii="Times New Roman" w:hAnsi="Times New Roman" w:cs="Times New Roman"/>
        </w:rPr>
        <w:t>The</w:t>
      </w:r>
      <w:r w:rsidRPr="001A2FAD">
        <w:rPr>
          <w:rFonts w:ascii="Times New Roman" w:hAnsi="Times New Roman" w:cs="Times New Roman"/>
          <w:lang w:eastAsia="en-US"/>
        </w:rPr>
        <w:t xml:space="preserve"> cost structure analysis revealed that marketing costs constituted the largest share of total production and marketing expenses (38.64%), followed by chemical management (13.92%), labor (11.75%), and fertilizer costs (9.28%). Together, these four components accounted for more than 70% of total production costs, indicating that profitability is strongly influenced by market-related expenses and input management practices. The dominance of marketing costs suggests the </w:t>
      </w:r>
      <w:r w:rsidRPr="001A2FAD">
        <w:rPr>
          <w:rFonts w:ascii="Times New Roman" w:hAnsi="Times New Roman" w:cs="Times New Roman"/>
          <w:lang w:eastAsia="en-US"/>
        </w:rPr>
        <w:lastRenderedPageBreak/>
        <w:t>existence of inefficiencies in market access, transportation, and transaction systems that reduce producers’ profit margins.</w:t>
      </w:r>
    </w:p>
    <w:p w14:paraId="7D309CCD" w14:textId="77777777" w:rsidR="0058633F" w:rsidRPr="001A2FAD" w:rsidRDefault="0058633F" w:rsidP="001A2FAD">
      <w:pPr>
        <w:spacing w:line="360" w:lineRule="auto"/>
        <w:jc w:val="both"/>
        <w:rPr>
          <w:rFonts w:ascii="Times New Roman" w:hAnsi="Times New Roman" w:cs="Times New Roman"/>
          <w:lang w:eastAsia="en-US"/>
        </w:rPr>
      </w:pPr>
      <w:r w:rsidRPr="001A2FAD">
        <w:rPr>
          <w:rFonts w:ascii="Times New Roman" w:hAnsi="Times New Roman" w:cs="Times New Roman"/>
        </w:rPr>
        <w:t>Despite</w:t>
      </w:r>
      <w:r w:rsidRPr="001A2FAD">
        <w:rPr>
          <w:rFonts w:ascii="Times New Roman" w:hAnsi="Times New Roman" w:cs="Times New Roman"/>
          <w:lang w:eastAsia="en-US"/>
        </w:rPr>
        <w:t xml:space="preserve"> these constraints, the actual yield substantially exceeded the break-even yield, indicating a considerable margin of economic safety and low financial risk. The positive net returns and favorable economic indicators demonstrate that irrigated onion production has significant potential to enhance household income, generate rural employment, and contribute to agricultural commercialization in the study area. Therefore, improving market efficiency, input-use effectiveness, and production management practices would further strengthen the profitability and competitiveness of onion farming in the Gebiresu Zone.</w:t>
      </w:r>
    </w:p>
    <w:p w14:paraId="7195C521" w14:textId="77777777" w:rsidR="00C5391D" w:rsidRPr="001A2FAD" w:rsidRDefault="00C5391D" w:rsidP="0030271E">
      <w:pPr>
        <w:pStyle w:val="Heading2"/>
        <w:numPr>
          <w:ilvl w:val="1"/>
          <w:numId w:val="1"/>
        </w:numPr>
        <w:jc w:val="both"/>
        <w:rPr>
          <w:rFonts w:cs="Times New Roman"/>
          <w:szCs w:val="24"/>
        </w:rPr>
      </w:pPr>
      <w:r w:rsidRPr="001A2FAD">
        <w:rPr>
          <w:rFonts w:cs="Times New Roman"/>
          <w:szCs w:val="24"/>
        </w:rPr>
        <w:t>Recommendations</w:t>
      </w:r>
    </w:p>
    <w:p w14:paraId="7305787A" w14:textId="77777777" w:rsidR="0058633F" w:rsidRPr="001A2FAD" w:rsidRDefault="0058633F" w:rsidP="001A2FAD">
      <w:pPr>
        <w:spacing w:line="360" w:lineRule="auto"/>
        <w:jc w:val="both"/>
        <w:rPr>
          <w:rFonts w:ascii="Times New Roman" w:hAnsi="Times New Roman" w:cs="Times New Roman"/>
        </w:rPr>
      </w:pPr>
      <w:r w:rsidRPr="001A2FAD">
        <w:rPr>
          <w:rFonts w:ascii="Times New Roman" w:hAnsi="Times New Roman" w:cs="Times New Roman"/>
          <w:lang w:eastAsia="en-US"/>
        </w:rPr>
        <w:t>Based</w:t>
      </w:r>
      <w:r w:rsidRPr="001A2FAD">
        <w:rPr>
          <w:rFonts w:ascii="Times New Roman" w:hAnsi="Times New Roman" w:cs="Times New Roman"/>
        </w:rPr>
        <w:t xml:space="preserve"> on the findings of this study, the following recommendations are proposed to enhance the profitability, competitiveness, and sustainability of irrigated onion production in the Gebiresu Zone of the Afar National Regional State.</w:t>
      </w:r>
    </w:p>
    <w:p w14:paraId="33EBC39A" w14:textId="2E770B99" w:rsidR="0058633F" w:rsidRPr="001A2FAD" w:rsidRDefault="0058633F" w:rsidP="0030271E">
      <w:pPr>
        <w:pStyle w:val="Heading4"/>
        <w:numPr>
          <w:ilvl w:val="0"/>
          <w:numId w:val="12"/>
        </w:numPr>
        <w:ind w:left="180" w:firstLine="90"/>
      </w:pPr>
      <w:r w:rsidRPr="001A2FAD">
        <w:t>Recommendations for Onion Producers</w:t>
      </w:r>
    </w:p>
    <w:p w14:paraId="76BBB858" w14:textId="77777777" w:rsidR="0058633F" w:rsidRPr="001A2FAD" w:rsidRDefault="0058633F" w:rsidP="0030271E">
      <w:pPr>
        <w:numPr>
          <w:ilvl w:val="0"/>
          <w:numId w:val="5"/>
        </w:numPr>
        <w:spacing w:before="100" w:beforeAutospacing="1" w:after="100" w:afterAutospacing="1" w:line="240" w:lineRule="auto"/>
        <w:jc w:val="both"/>
        <w:rPr>
          <w:rFonts w:ascii="Times New Roman" w:hAnsi="Times New Roman" w:cs="Times New Roman"/>
        </w:rPr>
      </w:pPr>
      <w:r w:rsidRPr="001A2FAD">
        <w:rPr>
          <w:rFonts w:ascii="Times New Roman" w:hAnsi="Times New Roman" w:cs="Times New Roman"/>
        </w:rPr>
        <w:t>Producers should strengthen collective marketing through cooperatives and producer associations to reduce dependence on brokers and improve bargaining power. Since marketing costs accounted for 38.64% of total production costs, collective marketing arrangements could substantially reduce transaction costs and increase producers’ net returns.</w:t>
      </w:r>
    </w:p>
    <w:p w14:paraId="1A9BFA29" w14:textId="77777777" w:rsidR="0058633F" w:rsidRPr="001A2FAD" w:rsidRDefault="0058633F" w:rsidP="0030271E">
      <w:pPr>
        <w:numPr>
          <w:ilvl w:val="0"/>
          <w:numId w:val="5"/>
        </w:numPr>
        <w:spacing w:before="100" w:beforeAutospacing="1" w:after="100" w:afterAutospacing="1" w:line="240" w:lineRule="auto"/>
        <w:jc w:val="both"/>
        <w:rPr>
          <w:rFonts w:ascii="Times New Roman" w:hAnsi="Times New Roman" w:cs="Times New Roman"/>
        </w:rPr>
      </w:pPr>
      <w:r w:rsidRPr="001A2FAD">
        <w:rPr>
          <w:rFonts w:ascii="Times New Roman" w:hAnsi="Times New Roman" w:cs="Times New Roman"/>
        </w:rPr>
        <w:t>Producers should adopt integrated pest management (IPM) and soil-test-based fertilizer application practices to improve input-use efficiency. Given that chemical management and fertilizer costs together represented 23.20% of total production costs, more efficient input utilization could significantly reduce production expenses without compromising productivity.</w:t>
      </w:r>
    </w:p>
    <w:p w14:paraId="6CD8C9D6" w14:textId="77777777" w:rsidR="0058633F" w:rsidRPr="001A2FAD" w:rsidRDefault="0058633F" w:rsidP="0030271E">
      <w:pPr>
        <w:numPr>
          <w:ilvl w:val="0"/>
          <w:numId w:val="5"/>
        </w:numPr>
        <w:spacing w:before="100" w:beforeAutospacing="1" w:after="100" w:afterAutospacing="1" w:line="240" w:lineRule="auto"/>
        <w:jc w:val="both"/>
        <w:rPr>
          <w:rFonts w:ascii="Times New Roman" w:hAnsi="Times New Roman" w:cs="Times New Roman"/>
        </w:rPr>
      </w:pPr>
      <w:r w:rsidRPr="001A2FAD">
        <w:rPr>
          <w:rFonts w:ascii="Times New Roman" w:hAnsi="Times New Roman" w:cs="Times New Roman"/>
        </w:rPr>
        <w:t>Producers should maintain proper farm records on input use, labor requirements, production costs, and revenues to support evidence-based farm management and marketing decisions.</w:t>
      </w:r>
    </w:p>
    <w:p w14:paraId="53C419DE" w14:textId="77777777" w:rsidR="0058633F" w:rsidRPr="001A2FAD" w:rsidRDefault="0058633F" w:rsidP="0030271E">
      <w:pPr>
        <w:pStyle w:val="Heading4"/>
        <w:numPr>
          <w:ilvl w:val="0"/>
          <w:numId w:val="12"/>
        </w:numPr>
        <w:ind w:left="180" w:firstLine="270"/>
        <w:rPr>
          <w:rFonts w:cs="Times New Roman"/>
          <w:b w:val="0"/>
          <w:i w:val="0"/>
        </w:rPr>
      </w:pPr>
      <w:r w:rsidRPr="00422D6D">
        <w:t>Recommendations for Cooperatives and Producer Organizations</w:t>
      </w:r>
    </w:p>
    <w:p w14:paraId="25212EB2" w14:textId="77777777" w:rsidR="0058633F" w:rsidRPr="001A2FAD" w:rsidRDefault="0058633F" w:rsidP="0030271E">
      <w:pPr>
        <w:numPr>
          <w:ilvl w:val="0"/>
          <w:numId w:val="6"/>
        </w:numPr>
        <w:spacing w:before="100" w:beforeAutospacing="1" w:after="100" w:afterAutospacing="1" w:line="240" w:lineRule="auto"/>
        <w:jc w:val="both"/>
        <w:rPr>
          <w:rFonts w:ascii="Times New Roman" w:hAnsi="Times New Roman" w:cs="Times New Roman"/>
        </w:rPr>
      </w:pPr>
      <w:r w:rsidRPr="001A2FAD">
        <w:rPr>
          <w:rFonts w:ascii="Times New Roman" w:hAnsi="Times New Roman" w:cs="Times New Roman"/>
        </w:rPr>
        <w:t>Cooperatives should facilitate collective input procurement and bulk marketing to reduce production and transaction costs. Bulk purchasing of fertilizers, pesticides, and seed can lower input costs, while collective marketing can improve access to better market prices.</w:t>
      </w:r>
    </w:p>
    <w:p w14:paraId="05091C5D" w14:textId="77777777" w:rsidR="0058633F" w:rsidRPr="001A2FAD" w:rsidRDefault="0058633F" w:rsidP="0030271E">
      <w:pPr>
        <w:numPr>
          <w:ilvl w:val="0"/>
          <w:numId w:val="6"/>
        </w:numPr>
        <w:spacing w:before="100" w:beforeAutospacing="1" w:after="100" w:afterAutospacing="1" w:line="240" w:lineRule="auto"/>
        <w:jc w:val="both"/>
        <w:rPr>
          <w:rFonts w:ascii="Times New Roman" w:hAnsi="Times New Roman" w:cs="Times New Roman"/>
        </w:rPr>
      </w:pPr>
      <w:r w:rsidRPr="001A2FAD">
        <w:rPr>
          <w:rFonts w:ascii="Times New Roman" w:hAnsi="Times New Roman" w:cs="Times New Roman"/>
        </w:rPr>
        <w:t>Producer organizations should establish market information platforms that provide timely information on prices, market demand, and buyer opportunities. Improved market information can reduce information asymmetry and strengthen farmers’ negotiating capacity.</w:t>
      </w:r>
    </w:p>
    <w:p w14:paraId="4991CA04" w14:textId="77777777" w:rsidR="0058633F" w:rsidRPr="00422D6D" w:rsidRDefault="0058633F" w:rsidP="0030271E">
      <w:pPr>
        <w:pStyle w:val="Heading4"/>
        <w:numPr>
          <w:ilvl w:val="0"/>
          <w:numId w:val="12"/>
        </w:numPr>
        <w:ind w:left="180" w:firstLine="270"/>
      </w:pPr>
      <w:r w:rsidRPr="00422D6D">
        <w:lastRenderedPageBreak/>
        <w:t>Recommendations for Agricultural Extension Services</w:t>
      </w:r>
    </w:p>
    <w:p w14:paraId="78FFD810" w14:textId="77777777" w:rsidR="0058633F" w:rsidRPr="001A2FAD" w:rsidRDefault="0058633F" w:rsidP="0030271E">
      <w:pPr>
        <w:numPr>
          <w:ilvl w:val="0"/>
          <w:numId w:val="7"/>
        </w:numPr>
        <w:spacing w:before="100" w:beforeAutospacing="1" w:after="100" w:afterAutospacing="1" w:line="240" w:lineRule="auto"/>
        <w:jc w:val="both"/>
        <w:rPr>
          <w:rFonts w:ascii="Times New Roman" w:hAnsi="Times New Roman" w:cs="Times New Roman"/>
        </w:rPr>
      </w:pPr>
      <w:r w:rsidRPr="001A2FAD">
        <w:rPr>
          <w:rFonts w:ascii="Times New Roman" w:hAnsi="Times New Roman" w:cs="Times New Roman"/>
        </w:rPr>
        <w:t>Extension services should intensify training on integrated nutrient management, integrated pest management, efficient irrigation practices, and post-harvest handling techniques to improve productivity and profitability.</w:t>
      </w:r>
    </w:p>
    <w:p w14:paraId="0A10CB23" w14:textId="77777777" w:rsidR="0058633F" w:rsidRPr="001A2FAD" w:rsidRDefault="0058633F" w:rsidP="0030271E">
      <w:pPr>
        <w:numPr>
          <w:ilvl w:val="0"/>
          <w:numId w:val="7"/>
        </w:numPr>
        <w:spacing w:before="100" w:beforeAutospacing="1" w:after="100" w:afterAutospacing="1" w:line="240" w:lineRule="auto"/>
        <w:jc w:val="both"/>
        <w:rPr>
          <w:rFonts w:ascii="Times New Roman" w:hAnsi="Times New Roman" w:cs="Times New Roman"/>
        </w:rPr>
      </w:pPr>
      <w:r w:rsidRPr="001A2FAD">
        <w:rPr>
          <w:rFonts w:ascii="Times New Roman" w:hAnsi="Times New Roman" w:cs="Times New Roman"/>
        </w:rPr>
        <w:t>Demonstration programs should promote labor-saving technologies and improved production practices. Since labor costs accounted for 11.75% of total production costs, increased adoption of appropriate mechanization could substantially improve labor productivity and reduce production expenses.</w:t>
      </w:r>
    </w:p>
    <w:p w14:paraId="414DB1CA" w14:textId="77777777" w:rsidR="0058633F" w:rsidRPr="00422D6D" w:rsidRDefault="0058633F" w:rsidP="0030271E">
      <w:pPr>
        <w:pStyle w:val="Heading4"/>
        <w:numPr>
          <w:ilvl w:val="0"/>
          <w:numId w:val="12"/>
        </w:numPr>
        <w:ind w:left="180" w:firstLine="270"/>
      </w:pPr>
      <w:r w:rsidRPr="00422D6D">
        <w:t>Recommendations for Policymakers and Government Institutions</w:t>
      </w:r>
    </w:p>
    <w:p w14:paraId="5CAA7570" w14:textId="77777777" w:rsidR="0058633F" w:rsidRPr="001A2FAD" w:rsidRDefault="0058633F" w:rsidP="0030271E">
      <w:pPr>
        <w:numPr>
          <w:ilvl w:val="0"/>
          <w:numId w:val="8"/>
        </w:numPr>
        <w:spacing w:before="100" w:beforeAutospacing="1" w:after="100" w:afterAutospacing="1" w:line="240" w:lineRule="auto"/>
        <w:jc w:val="both"/>
        <w:rPr>
          <w:rFonts w:ascii="Times New Roman" w:hAnsi="Times New Roman" w:cs="Times New Roman"/>
        </w:rPr>
      </w:pPr>
      <w:r w:rsidRPr="001A2FAD">
        <w:rPr>
          <w:rFonts w:ascii="Times New Roman" w:hAnsi="Times New Roman" w:cs="Times New Roman"/>
        </w:rPr>
        <w:t>Priority should be given to investments in rural roads, market centers, storage facilities, and transportation infrastructure. Because marketing expenses represented the largest cost component (38.64%), improving market infrastructure could generate the greatest impact on farm profitability.</w:t>
      </w:r>
    </w:p>
    <w:p w14:paraId="1268287A" w14:textId="77777777" w:rsidR="0058633F" w:rsidRPr="001A2FAD" w:rsidRDefault="0058633F" w:rsidP="0030271E">
      <w:pPr>
        <w:numPr>
          <w:ilvl w:val="0"/>
          <w:numId w:val="8"/>
        </w:numPr>
        <w:spacing w:before="100" w:beforeAutospacing="1" w:after="100" w:afterAutospacing="1" w:line="240" w:lineRule="auto"/>
        <w:jc w:val="both"/>
        <w:rPr>
          <w:rFonts w:ascii="Times New Roman" w:hAnsi="Times New Roman" w:cs="Times New Roman"/>
        </w:rPr>
      </w:pPr>
      <w:r w:rsidRPr="001A2FAD">
        <w:rPr>
          <w:rFonts w:ascii="Times New Roman" w:hAnsi="Times New Roman" w:cs="Times New Roman"/>
        </w:rPr>
        <w:t>Government institutions should strengthen agricultural credit programs and improve access to affordable production inputs. Enhanced access to finance would enable producers to adopt improved technologies, purchase quality inputs, and expand production.</w:t>
      </w:r>
    </w:p>
    <w:p w14:paraId="40E57B2E" w14:textId="77777777" w:rsidR="0058633F" w:rsidRPr="001A2FAD" w:rsidRDefault="0058633F" w:rsidP="0030271E">
      <w:pPr>
        <w:numPr>
          <w:ilvl w:val="0"/>
          <w:numId w:val="8"/>
        </w:numPr>
        <w:spacing w:before="100" w:beforeAutospacing="1" w:after="100" w:afterAutospacing="1" w:line="240" w:lineRule="auto"/>
        <w:jc w:val="both"/>
        <w:rPr>
          <w:rFonts w:ascii="Times New Roman" w:hAnsi="Times New Roman" w:cs="Times New Roman"/>
        </w:rPr>
      </w:pPr>
      <w:r w:rsidRPr="001A2FAD">
        <w:rPr>
          <w:rFonts w:ascii="Times New Roman" w:hAnsi="Times New Roman" w:cs="Times New Roman"/>
        </w:rPr>
        <w:t>Investments in irrigation infrastructure and water management services should be expanded to ensure reliable water supply and sustain productivity under irrigated production systems.</w:t>
      </w:r>
    </w:p>
    <w:p w14:paraId="3EB369A7" w14:textId="77777777" w:rsidR="0058633F" w:rsidRPr="001A2FAD" w:rsidRDefault="0058633F" w:rsidP="0030271E">
      <w:pPr>
        <w:numPr>
          <w:ilvl w:val="0"/>
          <w:numId w:val="8"/>
        </w:numPr>
        <w:spacing w:before="100" w:beforeAutospacing="1" w:after="100" w:afterAutospacing="1" w:line="240" w:lineRule="auto"/>
        <w:jc w:val="both"/>
        <w:rPr>
          <w:rFonts w:ascii="Times New Roman" w:hAnsi="Times New Roman" w:cs="Times New Roman"/>
        </w:rPr>
      </w:pPr>
      <w:r w:rsidRPr="001A2FAD">
        <w:rPr>
          <w:rFonts w:ascii="Times New Roman" w:hAnsi="Times New Roman" w:cs="Times New Roman"/>
        </w:rPr>
        <w:t>Policymakers should strengthen agricultural market information systems and support value-chain development initiatives that improve market transparency and reduce transaction costs.</w:t>
      </w:r>
    </w:p>
    <w:p w14:paraId="03E912A0" w14:textId="77777777" w:rsidR="0058633F" w:rsidRPr="00422D6D" w:rsidRDefault="0058633F" w:rsidP="0030271E">
      <w:pPr>
        <w:pStyle w:val="Heading4"/>
        <w:numPr>
          <w:ilvl w:val="0"/>
          <w:numId w:val="12"/>
        </w:numPr>
        <w:ind w:left="180" w:firstLine="270"/>
      </w:pPr>
      <w:r w:rsidRPr="00422D6D">
        <w:t>Recommendations for Development Partners and Research Institutions</w:t>
      </w:r>
    </w:p>
    <w:p w14:paraId="1F7C2745" w14:textId="77777777" w:rsidR="0058633F" w:rsidRPr="001A2FAD" w:rsidRDefault="0058633F" w:rsidP="0030271E">
      <w:pPr>
        <w:numPr>
          <w:ilvl w:val="0"/>
          <w:numId w:val="9"/>
        </w:numPr>
        <w:spacing w:before="100" w:beforeAutospacing="1" w:after="100" w:afterAutospacing="1" w:line="240" w:lineRule="auto"/>
        <w:jc w:val="both"/>
        <w:rPr>
          <w:rFonts w:ascii="Times New Roman" w:hAnsi="Times New Roman" w:cs="Times New Roman"/>
        </w:rPr>
      </w:pPr>
      <w:r w:rsidRPr="001A2FAD">
        <w:rPr>
          <w:rFonts w:ascii="Times New Roman" w:hAnsi="Times New Roman" w:cs="Times New Roman"/>
        </w:rPr>
        <w:t>Development partners should support value-chain interventions that improve market linkages, storage facilities, and post-harvest management systems to reduce losses and increase producers’ market participation.</w:t>
      </w:r>
    </w:p>
    <w:p w14:paraId="78FB3CCF" w14:textId="77777777" w:rsidR="0058633F" w:rsidRPr="001A2FAD" w:rsidRDefault="0058633F" w:rsidP="0030271E">
      <w:pPr>
        <w:numPr>
          <w:ilvl w:val="0"/>
          <w:numId w:val="9"/>
        </w:numPr>
        <w:spacing w:before="100" w:beforeAutospacing="1" w:after="100" w:afterAutospacing="1" w:line="240" w:lineRule="auto"/>
        <w:jc w:val="both"/>
        <w:rPr>
          <w:rFonts w:ascii="Times New Roman" w:hAnsi="Times New Roman" w:cs="Times New Roman"/>
        </w:rPr>
      </w:pPr>
      <w:r w:rsidRPr="001A2FAD">
        <w:rPr>
          <w:rFonts w:ascii="Times New Roman" w:hAnsi="Times New Roman" w:cs="Times New Roman"/>
        </w:rPr>
        <w:t>Research institutions should conduct further studies on cost-reduction technologies, improved onion production practices, and market-chain efficiency to identify innovations that enhance profitability and competitiveness.</w:t>
      </w:r>
    </w:p>
    <w:p w14:paraId="270D3CB0" w14:textId="77777777" w:rsidR="00C5391D" w:rsidRPr="001A2FAD" w:rsidRDefault="00C5391D" w:rsidP="001A2FAD">
      <w:pPr>
        <w:pStyle w:val="Heading1"/>
        <w:jc w:val="both"/>
        <w:rPr>
          <w:rFonts w:cs="Times New Roman"/>
          <w:sz w:val="24"/>
          <w:szCs w:val="24"/>
        </w:rPr>
      </w:pPr>
      <w:r w:rsidRPr="001A2FAD">
        <w:rPr>
          <w:rFonts w:cs="Times New Roman"/>
          <w:sz w:val="24"/>
          <w:szCs w:val="24"/>
        </w:rPr>
        <w:t>Ethical Statement</w:t>
      </w:r>
    </w:p>
    <w:p w14:paraId="41DDEB54" w14:textId="59FA684B"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This research was conducted in accordance with ethical standards applicable to socio-economic and agricultural field studies. Before data collection, informed consent was obtained from all participating </w:t>
      </w:r>
      <w:r w:rsidR="00F27B21">
        <w:rPr>
          <w:rFonts w:ascii="Times New Roman" w:hAnsi="Times New Roman" w:cs="Times New Roman"/>
        </w:rPr>
        <w:t>producers</w:t>
      </w:r>
      <w:r w:rsidRPr="001A2FAD">
        <w:rPr>
          <w:rFonts w:ascii="Times New Roman" w:hAnsi="Times New Roman" w:cs="Times New Roman"/>
        </w:rPr>
        <w:t xml:space="preserve"> and stakeholders. Participants were briefed on the objectives of the study, and their involvement was entirely voluntary. Data collected were kept confidential and used strictly for research purposes. No personal identifiers were disclosed, and findings are presented in an aggregated format to ensure anonymity. The study adhered to the research ethics guidelines </w:t>
      </w:r>
      <w:r w:rsidRPr="001A2FAD">
        <w:rPr>
          <w:rFonts w:ascii="Times New Roman" w:hAnsi="Times New Roman" w:cs="Times New Roman"/>
        </w:rPr>
        <w:lastRenderedPageBreak/>
        <w:t>of the Ethiopian Institute of Agricultural Research (EIAR), and no part of the study posed harm or risk to participants or the environment.</w:t>
      </w:r>
    </w:p>
    <w:p w14:paraId="7999C29D" w14:textId="77777777" w:rsidR="00C5391D" w:rsidRPr="001A2FAD" w:rsidRDefault="00C5391D" w:rsidP="001A2FAD">
      <w:pPr>
        <w:pStyle w:val="Heading1"/>
        <w:spacing w:line="360" w:lineRule="auto"/>
        <w:jc w:val="both"/>
        <w:rPr>
          <w:rFonts w:cs="Times New Roman"/>
          <w:sz w:val="24"/>
          <w:szCs w:val="24"/>
        </w:rPr>
      </w:pPr>
      <w:r w:rsidRPr="001A2FAD">
        <w:rPr>
          <w:rFonts w:cs="Times New Roman"/>
          <w:sz w:val="24"/>
          <w:szCs w:val="24"/>
        </w:rPr>
        <w:t>ACKNOWLEDGMENTS</w:t>
      </w:r>
    </w:p>
    <w:p w14:paraId="1ACBFDB8" w14:textId="1F40B258"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The authors wish to express their sincere gratitude to all individuals and institutions who contributed to the success of this survey. Special thanks go to the </w:t>
      </w:r>
      <w:r w:rsidR="00F27B21">
        <w:rPr>
          <w:rFonts w:ascii="Times New Roman" w:hAnsi="Times New Roman" w:cs="Times New Roman"/>
        </w:rPr>
        <w:t>producers</w:t>
      </w:r>
      <w:r w:rsidRPr="001A2FAD">
        <w:rPr>
          <w:rFonts w:ascii="Times New Roman" w:hAnsi="Times New Roman" w:cs="Times New Roman"/>
        </w:rPr>
        <w:t xml:space="preserve"> and agro-pastoralists who participated in the survey and provided valuable insights through questionnaires and focus group discussions. Your cooperation and willingness to share your experiences were essential to the completion of this study.</w:t>
      </w:r>
    </w:p>
    <w:p w14:paraId="1ED138EA" w14:textId="77777777"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We extend our heartfelt appreciation to the enumerators for their hard work and dedication during the data collection process. Your professionalism and commitment ensured the accurate gathering of information across all districts.</w:t>
      </w:r>
    </w:p>
    <w:p w14:paraId="5B811DE8" w14:textId="77777777"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We are also grateful to the Ethiopian Institute of Agricultural Research (EIAR) for their unwavering support throughout the study. In particular, we would like to thank the Werer Agricultural Research Center (WARC) for providing the necessary resources, including vehicles, field equipment, and financial support, which made the fieldwork possible.</w:t>
      </w:r>
    </w:p>
    <w:p w14:paraId="03653044" w14:textId="7218EB5A" w:rsidR="00C5391D" w:rsidRPr="001A2FAD" w:rsidRDefault="00C5391D" w:rsidP="001A2FAD">
      <w:pPr>
        <w:pStyle w:val="Heading1"/>
        <w:jc w:val="both"/>
        <w:rPr>
          <w:rFonts w:cs="Times New Roman"/>
          <w:sz w:val="24"/>
          <w:szCs w:val="24"/>
        </w:rPr>
      </w:pPr>
      <w:r w:rsidRPr="001A2FAD">
        <w:rPr>
          <w:rFonts w:cs="Times New Roman"/>
          <w:sz w:val="24"/>
          <w:szCs w:val="24"/>
        </w:rPr>
        <w:t xml:space="preserve">Declaration of </w:t>
      </w:r>
      <w:r w:rsidR="00F27B21">
        <w:rPr>
          <w:rFonts w:cs="Times New Roman"/>
          <w:sz w:val="24"/>
          <w:szCs w:val="24"/>
        </w:rPr>
        <w:t>Conflict</w:t>
      </w:r>
      <w:r w:rsidRPr="001A2FAD">
        <w:rPr>
          <w:rFonts w:cs="Times New Roman"/>
          <w:sz w:val="24"/>
          <w:szCs w:val="24"/>
        </w:rPr>
        <w:t xml:space="preserve"> of Interests</w:t>
      </w:r>
    </w:p>
    <w:p w14:paraId="5BF95228" w14:textId="33F37CF1"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 xml:space="preserve">The authors hereby declare that all authors of this manuscript have no conflicts of interest </w:t>
      </w:r>
      <w:r w:rsidR="00F27B21">
        <w:rPr>
          <w:rFonts w:ascii="Times New Roman" w:hAnsi="Times New Roman" w:cs="Times New Roman"/>
        </w:rPr>
        <w:t>in</w:t>
      </w:r>
      <w:r w:rsidRPr="001A2FAD">
        <w:rPr>
          <w:rFonts w:ascii="Times New Roman" w:hAnsi="Times New Roman" w:cs="Times New Roman"/>
        </w:rPr>
        <w:t xml:space="preserve"> this study.</w:t>
      </w:r>
    </w:p>
    <w:p w14:paraId="06D19DE1" w14:textId="77777777" w:rsidR="00C5391D" w:rsidRPr="001A2FAD" w:rsidRDefault="00C5391D" w:rsidP="001A2FAD">
      <w:pPr>
        <w:pStyle w:val="Heading1"/>
        <w:jc w:val="both"/>
        <w:rPr>
          <w:rFonts w:cs="Times New Roman"/>
          <w:sz w:val="24"/>
          <w:szCs w:val="24"/>
        </w:rPr>
      </w:pPr>
      <w:r w:rsidRPr="001A2FAD">
        <w:rPr>
          <w:rFonts w:cs="Times New Roman"/>
          <w:sz w:val="24"/>
          <w:szCs w:val="24"/>
        </w:rPr>
        <w:t xml:space="preserve">Ethical Clearance </w:t>
      </w:r>
    </w:p>
    <w:p w14:paraId="32A26FF2" w14:textId="77777777"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This research involves a survey-based study and does not include any experimental interventions, medical procedures, or activities that could cause physical, psychological, or social harm to participants. All participation was voluntary, and informed consent was obtained from respondents before data collection. No personal identifiers were recorded, and all information was kept strictly confidential. The study was conducted in accordance with ethical research guidelines and poses no risk to any individual or group.</w:t>
      </w:r>
    </w:p>
    <w:p w14:paraId="1CAD5B07" w14:textId="77777777" w:rsidR="00C5391D" w:rsidRPr="001A2FAD" w:rsidRDefault="00C5391D" w:rsidP="001A2FAD">
      <w:pPr>
        <w:pStyle w:val="Heading1"/>
        <w:jc w:val="both"/>
        <w:rPr>
          <w:rFonts w:cs="Times New Roman"/>
          <w:sz w:val="24"/>
          <w:szCs w:val="24"/>
        </w:rPr>
      </w:pPr>
      <w:r w:rsidRPr="001A2FAD">
        <w:rPr>
          <w:rFonts w:cs="Times New Roman"/>
          <w:sz w:val="24"/>
          <w:szCs w:val="24"/>
        </w:rPr>
        <w:lastRenderedPageBreak/>
        <w:t>Funding Source</w:t>
      </w:r>
    </w:p>
    <w:p w14:paraId="4189D34A" w14:textId="77777777" w:rsidR="00C5391D" w:rsidRPr="001A2FAD" w:rsidRDefault="00C5391D" w:rsidP="00F27B21">
      <w:pPr>
        <w:spacing w:line="360" w:lineRule="auto"/>
        <w:jc w:val="both"/>
        <w:rPr>
          <w:rFonts w:ascii="Times New Roman" w:hAnsi="Times New Roman" w:cs="Times New Roman"/>
        </w:rPr>
      </w:pPr>
      <w:r w:rsidRPr="00F27B21">
        <w:rPr>
          <w:rFonts w:ascii="Times New Roman" w:hAnsi="Times New Roman" w:cs="Times New Roman"/>
        </w:rPr>
        <w:t>This study, titled “Economic Feasibility of Onion Production under Irrigated Conditions in Middle Awash, Afar Region, Ethiopia,” was funded by the Ethiopian Institute of Agricultural Research (EIAR) and the Ministry of Agriculture (MoA) of the Government of Ethiopia, both of which are non-profit public institutions.</w:t>
      </w:r>
    </w:p>
    <w:p w14:paraId="5F7B9D1D" w14:textId="77777777" w:rsidR="00C5391D" w:rsidRPr="001A2FAD" w:rsidRDefault="00C5391D" w:rsidP="001A2FAD">
      <w:pPr>
        <w:pStyle w:val="Heading1"/>
        <w:jc w:val="both"/>
        <w:rPr>
          <w:rFonts w:cs="Times New Roman"/>
          <w:sz w:val="24"/>
          <w:szCs w:val="24"/>
        </w:rPr>
      </w:pPr>
      <w:r w:rsidRPr="001A2FAD">
        <w:rPr>
          <w:rFonts w:cs="Times New Roman"/>
          <w:sz w:val="24"/>
          <w:szCs w:val="24"/>
        </w:rPr>
        <w:t>Authorship</w:t>
      </w:r>
    </w:p>
    <w:p w14:paraId="24475C92" w14:textId="77777777" w:rsidR="00C5391D" w:rsidRPr="001A2FAD" w:rsidRDefault="00C5391D" w:rsidP="001A2FAD">
      <w:pPr>
        <w:spacing w:line="360" w:lineRule="auto"/>
        <w:jc w:val="both"/>
        <w:rPr>
          <w:rFonts w:ascii="Times New Roman" w:hAnsi="Times New Roman" w:cs="Times New Roman"/>
        </w:rPr>
      </w:pPr>
      <w:r w:rsidRPr="001A2FAD">
        <w:rPr>
          <w:rFonts w:ascii="Times New Roman" w:hAnsi="Times New Roman" w:cs="Times New Roman"/>
        </w:rPr>
        <w:t>The authorship of this research is as follows:</w:t>
      </w:r>
    </w:p>
    <w:p w14:paraId="60B70A41" w14:textId="77777777" w:rsidR="00C5391D" w:rsidRPr="001A2FAD" w:rsidRDefault="00C5391D" w:rsidP="0030271E">
      <w:pPr>
        <w:pStyle w:val="ListParagraph"/>
        <w:numPr>
          <w:ilvl w:val="0"/>
          <w:numId w:val="4"/>
        </w:numPr>
        <w:spacing w:line="360" w:lineRule="auto"/>
        <w:jc w:val="both"/>
        <w:rPr>
          <w:rFonts w:ascii="Times New Roman" w:hAnsi="Times New Roman" w:cs="Times New Roman"/>
        </w:rPr>
      </w:pPr>
      <w:r w:rsidRPr="001A2FAD">
        <w:rPr>
          <w:rFonts w:ascii="Times New Roman" w:hAnsi="Times New Roman" w:cs="Times New Roman"/>
          <w:b/>
          <w:bCs/>
        </w:rPr>
        <w:t>Yitages Kuma Beji:</w:t>
      </w:r>
      <w:r w:rsidRPr="001A2FAD">
        <w:rPr>
          <w:rFonts w:ascii="Times New Roman" w:hAnsi="Times New Roman" w:cs="Times New Roman"/>
        </w:rPr>
        <w:t xml:space="preserve"> Conceptualization, Data curation, Formal Analysis, Funding acquisition, Investigation, Methodology, Project administration, Software, Supervision, Validation, Visualization, Writing original draft, Writing, review &amp; editing</w:t>
      </w:r>
    </w:p>
    <w:p w14:paraId="691148CF" w14:textId="77777777" w:rsidR="00C5391D" w:rsidRPr="001A2FAD" w:rsidRDefault="00C5391D" w:rsidP="0030271E">
      <w:pPr>
        <w:pStyle w:val="ListParagraph"/>
        <w:numPr>
          <w:ilvl w:val="0"/>
          <w:numId w:val="4"/>
        </w:numPr>
        <w:spacing w:line="360" w:lineRule="auto"/>
        <w:jc w:val="both"/>
        <w:rPr>
          <w:rFonts w:ascii="Times New Roman" w:hAnsi="Times New Roman" w:cs="Times New Roman"/>
        </w:rPr>
      </w:pPr>
      <w:r w:rsidRPr="001A2FAD">
        <w:rPr>
          <w:rFonts w:ascii="Times New Roman" w:hAnsi="Times New Roman" w:cs="Times New Roman"/>
          <w:b/>
          <w:bCs/>
        </w:rPr>
        <w:t>Shimelis Alemayehu Seta:</w:t>
      </w:r>
      <w:r w:rsidRPr="001A2FAD">
        <w:rPr>
          <w:rFonts w:ascii="Times New Roman" w:hAnsi="Times New Roman" w:cs="Times New Roman"/>
        </w:rPr>
        <w:t xml:space="preserve"> </w:t>
      </w:r>
      <w:bookmarkStart w:id="23" w:name="OLE_LINK12"/>
      <w:r w:rsidRPr="001A2FAD">
        <w:rPr>
          <w:rFonts w:ascii="Times New Roman" w:hAnsi="Times New Roman" w:cs="Times New Roman"/>
        </w:rPr>
        <w:t>Conceptualization, Data curation, Formal Analysis, Funding acquisition, Investigation, Methodology, Project administration, Resources, Software, Supervision, Validation, Visualization, Writing original draft, Writing, review &amp; editing</w:t>
      </w:r>
      <w:bookmarkEnd w:id="23"/>
    </w:p>
    <w:p w14:paraId="14582991" w14:textId="77777777" w:rsidR="00C5391D" w:rsidRPr="001A2FAD" w:rsidRDefault="00C5391D" w:rsidP="001A2FAD">
      <w:pPr>
        <w:pStyle w:val="Heading1"/>
        <w:numPr>
          <w:ilvl w:val="0"/>
          <w:numId w:val="0"/>
        </w:numPr>
        <w:ind w:left="720"/>
        <w:jc w:val="both"/>
        <w:rPr>
          <w:rFonts w:cs="Times New Roman"/>
          <w:sz w:val="24"/>
          <w:szCs w:val="24"/>
        </w:rPr>
      </w:pPr>
      <w:bookmarkStart w:id="24" w:name="_Hlk231209909"/>
      <w:r w:rsidRPr="001A2FAD">
        <w:rPr>
          <w:rFonts w:cs="Times New Roman"/>
          <w:sz w:val="24"/>
          <w:szCs w:val="24"/>
        </w:rPr>
        <w:t>References</w:t>
      </w:r>
    </w:p>
    <w:p w14:paraId="35592A33" w14:textId="77777777" w:rsidR="006C0C0D" w:rsidRPr="006C0C0D" w:rsidRDefault="00C5391D" w:rsidP="006C0C0D">
      <w:pPr>
        <w:pStyle w:val="EndNoteBibliography"/>
        <w:spacing w:after="0"/>
        <w:ind w:left="720" w:hanging="720"/>
      </w:pPr>
      <w:r w:rsidRPr="001A2FAD">
        <w:rPr>
          <w:sz w:val="24"/>
          <w:szCs w:val="24"/>
        </w:rPr>
        <w:fldChar w:fldCharType="begin"/>
      </w:r>
      <w:r w:rsidRPr="001A2FAD">
        <w:rPr>
          <w:sz w:val="24"/>
          <w:szCs w:val="24"/>
        </w:rPr>
        <w:instrText xml:space="preserve"> ADDIN EN.REFLIST </w:instrText>
      </w:r>
      <w:r w:rsidRPr="001A2FAD">
        <w:rPr>
          <w:sz w:val="24"/>
          <w:szCs w:val="24"/>
        </w:rPr>
        <w:fldChar w:fldCharType="separate"/>
      </w:r>
      <w:r w:rsidR="006C0C0D" w:rsidRPr="006C0C0D">
        <w:t xml:space="preserve">Absanto, G., Mkunda, J., &amp; Nyangarika, A. (2025). Modern Versus Traditional Irrigation Systems: Implications for Technical Efficiency and Input-Output Relationship in Northern Tanzania’s Horticulture Sector. </w:t>
      </w:r>
    </w:p>
    <w:p w14:paraId="3E03EB48" w14:textId="77777777" w:rsidR="006C0C0D" w:rsidRPr="006C0C0D" w:rsidRDefault="006C0C0D" w:rsidP="006C0C0D">
      <w:pPr>
        <w:pStyle w:val="EndNoteBibliography"/>
        <w:spacing w:after="0"/>
        <w:ind w:left="720" w:hanging="720"/>
      </w:pPr>
      <w:r w:rsidRPr="006C0C0D">
        <w:t>Admassie, A., &amp; Ayele, G. J. E. J. o. E. (2010). Adoption of improved technology in Ethiopia.</w:t>
      </w:r>
      <w:r w:rsidRPr="006C0C0D">
        <w:rPr>
          <w:i/>
        </w:rPr>
        <w:t xml:space="preserve"> 19</w:t>
      </w:r>
      <w:r w:rsidRPr="006C0C0D">
        <w:t>(1), 155-179. doi:10.4314/eje.v19i1.71416</w:t>
      </w:r>
    </w:p>
    <w:p w14:paraId="15FA4615" w14:textId="793421DC" w:rsidR="006C0C0D" w:rsidRPr="006C0C0D" w:rsidRDefault="006C0C0D" w:rsidP="006C0C0D">
      <w:pPr>
        <w:pStyle w:val="EndNoteBibliography"/>
        <w:spacing w:after="0"/>
        <w:ind w:left="720" w:hanging="720"/>
      </w:pPr>
      <w:r w:rsidRPr="006C0C0D">
        <w:t>Ailawadi, K. L., Farris, P. W., &amp; Parry, M. E. J. I. J. o. R. i. M. (1999). Market share and ROI: Observing the effect of unobserved variables.</w:t>
      </w:r>
      <w:r w:rsidRPr="006C0C0D">
        <w:rPr>
          <w:i/>
        </w:rPr>
        <w:t xml:space="preserve"> 16</w:t>
      </w:r>
      <w:r w:rsidRPr="006C0C0D">
        <w:t>(1), 17-33. doi:</w:t>
      </w:r>
      <w:hyperlink r:id="rId13" w:history="1">
        <w:r w:rsidRPr="006C0C0D">
          <w:rPr>
            <w:rStyle w:val="Hyperlink"/>
          </w:rPr>
          <w:t>https://doi.org/10.1016/S0167-8116(98)00012-3</w:t>
        </w:r>
      </w:hyperlink>
    </w:p>
    <w:p w14:paraId="0C59FB6C" w14:textId="77777777" w:rsidR="006C0C0D" w:rsidRPr="006C0C0D" w:rsidRDefault="006C0C0D" w:rsidP="006C0C0D">
      <w:pPr>
        <w:pStyle w:val="EndNoteBibliography"/>
        <w:spacing w:after="0"/>
        <w:ind w:left="720" w:hanging="720"/>
      </w:pPr>
      <w:r w:rsidRPr="006C0C0D">
        <w:t xml:space="preserve">Alem, K. (2008). </w:t>
      </w:r>
      <w:r w:rsidRPr="006C0C0D">
        <w:rPr>
          <w:i/>
        </w:rPr>
        <w:t>Opportunities and challenges of vegetable marketing in Kilte-Awlaelo Woreda.</w:t>
      </w:r>
      <w:r w:rsidRPr="006C0C0D">
        <w:t xml:space="preserve"> The Institute of Development Studies and Partner Organisations, </w:t>
      </w:r>
    </w:p>
    <w:p w14:paraId="270E3116" w14:textId="77777777" w:rsidR="006C0C0D" w:rsidRPr="006C0C0D" w:rsidRDefault="006C0C0D" w:rsidP="006C0C0D">
      <w:pPr>
        <w:pStyle w:val="EndNoteBibliography"/>
        <w:spacing w:after="0"/>
        <w:ind w:left="720" w:hanging="720"/>
      </w:pPr>
      <w:r w:rsidRPr="006C0C0D">
        <w:t>Atoyebi, J. O., Bello, S. A., &amp; Owolarafe, O. K. J. A. E. I. C. J. (2022). A case-study approach to profitability assessment in fermented African locust beans (iru) production using break-even analysis.</w:t>
      </w:r>
      <w:r w:rsidRPr="006C0C0D">
        <w:rPr>
          <w:i/>
        </w:rPr>
        <w:t xml:space="preserve"> 24</w:t>
      </w:r>
      <w:r w:rsidRPr="006C0C0D">
        <w:t xml:space="preserve">(1). </w:t>
      </w:r>
    </w:p>
    <w:p w14:paraId="4AADE10E" w14:textId="537B4AD0" w:rsidR="006C0C0D" w:rsidRPr="006C0C0D" w:rsidRDefault="006C0C0D" w:rsidP="006C0C0D">
      <w:pPr>
        <w:pStyle w:val="EndNoteBibliography"/>
        <w:spacing w:after="0"/>
        <w:ind w:left="720" w:hanging="720"/>
      </w:pPr>
      <w:r w:rsidRPr="006C0C0D">
        <w:t>Ayele, B. G., Asseffa, S., &amp; Tuhar, A. W. J. W.-E. N. (2023). Effect of deficit irrigation under furrow irrigation techniques on garlic (Allium sativum L.) productivity at the central highland of Ethiopia.</w:t>
      </w:r>
      <w:r w:rsidRPr="006C0C0D">
        <w:rPr>
          <w:i/>
        </w:rPr>
        <w:t xml:space="preserve"> 6</w:t>
      </w:r>
      <w:r w:rsidRPr="006C0C0D">
        <w:t>, 32-45. doi:</w:t>
      </w:r>
      <w:hyperlink r:id="rId14" w:history="1">
        <w:r w:rsidRPr="006C0C0D">
          <w:rPr>
            <w:rStyle w:val="Hyperlink"/>
          </w:rPr>
          <w:t>https://doi.org/10.1016/j.wen.2023.07.001</w:t>
        </w:r>
      </w:hyperlink>
    </w:p>
    <w:p w14:paraId="7094F3AF" w14:textId="714BCC49" w:rsidR="006C0C0D" w:rsidRPr="006C0C0D" w:rsidRDefault="006C0C0D" w:rsidP="006C0C0D">
      <w:pPr>
        <w:pStyle w:val="EndNoteBibliography"/>
        <w:spacing w:after="0"/>
        <w:ind w:left="720" w:hanging="720"/>
      </w:pPr>
      <w:r w:rsidRPr="006C0C0D">
        <w:t xml:space="preserve">Batten, S. (2018). Climate change and the macro-economy: a critical review. doi: </w:t>
      </w:r>
      <w:hyperlink r:id="rId15" w:history="1">
        <w:r w:rsidRPr="006C0C0D">
          <w:rPr>
            <w:rStyle w:val="Hyperlink"/>
          </w:rPr>
          <w:t>http://dx.doi.org/10.2139/ssrn.3104554</w:t>
        </w:r>
      </w:hyperlink>
    </w:p>
    <w:p w14:paraId="07BE5E67" w14:textId="4172BE8A" w:rsidR="006C0C0D" w:rsidRPr="006C0C0D" w:rsidRDefault="006C0C0D" w:rsidP="006C0C0D">
      <w:pPr>
        <w:pStyle w:val="EndNoteBibliography"/>
        <w:spacing w:after="0"/>
        <w:ind w:left="720" w:hanging="720"/>
      </w:pPr>
      <w:r w:rsidRPr="006C0C0D">
        <w:t xml:space="preserve">Becker, N. J. E. p. m. c. f. a., ecologists, economists, &amp; policymakers. (2017). External costs of food production: environmental and human health costs of pest management. 369-384. doi: </w:t>
      </w:r>
      <w:hyperlink r:id="rId16" w:history="1">
        <w:r w:rsidRPr="006C0C0D">
          <w:rPr>
            <w:rStyle w:val="Hyperlink"/>
          </w:rPr>
          <w:t>https://doi.org/10.1002/9781119255574.ch16</w:t>
        </w:r>
      </w:hyperlink>
    </w:p>
    <w:p w14:paraId="62F54F00" w14:textId="2F7B6C58" w:rsidR="006C0C0D" w:rsidRPr="006C0C0D" w:rsidRDefault="006C0C0D" w:rsidP="006C0C0D">
      <w:pPr>
        <w:pStyle w:val="EndNoteBibliography"/>
        <w:spacing w:after="0"/>
        <w:ind w:left="720" w:hanging="720"/>
      </w:pPr>
      <w:r w:rsidRPr="006C0C0D">
        <w:t>Bedemo, A., Getnet, K., &amp; Kassa, B. J. A. J. o. L. E. (2013). Determinants of household demand for and supply of farm labour in rural Ethiopia.</w:t>
      </w:r>
      <w:r w:rsidRPr="006C0C0D">
        <w:rPr>
          <w:i/>
        </w:rPr>
        <w:t xml:space="preserve"> 16</w:t>
      </w:r>
      <w:r w:rsidRPr="006C0C0D">
        <w:t>(3), 351-367. doi:</w:t>
      </w:r>
      <w:hyperlink r:id="rId17" w:history="1">
        <w:r w:rsidRPr="006C0C0D">
          <w:rPr>
            <w:rStyle w:val="Hyperlink"/>
          </w:rPr>
          <w:t>https://search.informit.org/doi/10.3316/informit.811524352757599</w:t>
        </w:r>
      </w:hyperlink>
    </w:p>
    <w:p w14:paraId="63A108D8" w14:textId="77777777" w:rsidR="006C0C0D" w:rsidRPr="006C0C0D" w:rsidRDefault="006C0C0D" w:rsidP="006C0C0D">
      <w:pPr>
        <w:pStyle w:val="EndNoteBibliography"/>
        <w:spacing w:after="0"/>
        <w:ind w:left="720" w:hanging="720"/>
      </w:pPr>
      <w:r w:rsidRPr="006C0C0D">
        <w:lastRenderedPageBreak/>
        <w:t>Beji, Y. K., Mulgeta, N., &amp; Chewaka, N. J. o. A. M. a. S. (2023). Promotion of Onion Seed Production Technologies for Improving Productivity in Upper and Middle Awash Irrigated Areas.</w:t>
      </w:r>
      <w:r w:rsidRPr="006C0C0D">
        <w:rPr>
          <w:i/>
        </w:rPr>
        <w:t xml:space="preserve"> 1</w:t>
      </w:r>
      <w:r w:rsidRPr="006C0C0D">
        <w:t xml:space="preserve">(7), 80-92. </w:t>
      </w:r>
    </w:p>
    <w:p w14:paraId="2B9735A7" w14:textId="77777777" w:rsidR="006C0C0D" w:rsidRPr="006C0C0D" w:rsidRDefault="006C0C0D" w:rsidP="006C0C0D">
      <w:pPr>
        <w:pStyle w:val="EndNoteBibliography"/>
        <w:spacing w:after="0"/>
        <w:ind w:left="720" w:hanging="720"/>
      </w:pPr>
      <w:r w:rsidRPr="006C0C0D">
        <w:t xml:space="preserve">Beshir, B., &amp; Nishikawa, Y. (2012). Cost-benefit analysis of small-scale onion and tomato farming in Melkassa area: Central Rift Valley of Ethiopia. </w:t>
      </w:r>
      <w:r w:rsidRPr="006C0C0D">
        <w:rPr>
          <w:i/>
        </w:rPr>
        <w:t>Tropical Agriculture and Development, 56</w:t>
      </w:r>
      <w:r w:rsidRPr="006C0C0D">
        <w:t xml:space="preserve">(4), 143-150. </w:t>
      </w:r>
    </w:p>
    <w:p w14:paraId="7CFF5547" w14:textId="77777777" w:rsidR="006C0C0D" w:rsidRPr="006C0C0D" w:rsidRDefault="006C0C0D" w:rsidP="006C0C0D">
      <w:pPr>
        <w:pStyle w:val="EndNoteBibliography"/>
        <w:spacing w:after="0"/>
        <w:ind w:left="720" w:hanging="720"/>
      </w:pPr>
      <w:r w:rsidRPr="006C0C0D">
        <w:t xml:space="preserve">Booth, D., Hanmer, L., &amp; Lovell, E. J. R. f. t. W. B., Overseas Development Institute. (2000). Poverty and transport. </w:t>
      </w:r>
    </w:p>
    <w:p w14:paraId="2D75CF3B" w14:textId="5270D79F" w:rsidR="006C0C0D" w:rsidRPr="006C0C0D" w:rsidRDefault="006C0C0D" w:rsidP="006C0C0D">
      <w:pPr>
        <w:pStyle w:val="EndNoteBibliography"/>
        <w:spacing w:after="0"/>
        <w:ind w:left="720" w:hanging="720"/>
      </w:pPr>
      <w:r w:rsidRPr="006C0C0D">
        <w:t>Boru, G. W., Birhan, T. S., &amp; Beyene, T. L. J. H. (2024). Integrated effects of furrow irrigation systems and irrigation regimes on water productivity of onion (Allium cepa L.) crop in a semi-arid area.</w:t>
      </w:r>
      <w:r w:rsidRPr="006C0C0D">
        <w:rPr>
          <w:i/>
        </w:rPr>
        <w:t xml:space="preserve"> 10</w:t>
      </w:r>
      <w:r w:rsidRPr="006C0C0D">
        <w:t>(21). doi:</w:t>
      </w:r>
      <w:hyperlink r:id="rId18" w:history="1">
        <w:r w:rsidRPr="006C0C0D">
          <w:rPr>
            <w:rStyle w:val="Hyperlink"/>
          </w:rPr>
          <w:t>https://doi.org/10.1016/j.heliyon.2024.e40098</w:t>
        </w:r>
      </w:hyperlink>
    </w:p>
    <w:p w14:paraId="7FD3E980" w14:textId="0A6555D4" w:rsidR="006C0C0D" w:rsidRPr="006C0C0D" w:rsidRDefault="006C0C0D" w:rsidP="006C0C0D">
      <w:pPr>
        <w:pStyle w:val="EndNoteBibliography"/>
        <w:spacing w:after="0"/>
        <w:ind w:left="720" w:hanging="720"/>
      </w:pPr>
      <w:r w:rsidRPr="006C0C0D">
        <w:t>Bowman, M. S., Zilberman, D. J. E., &amp; society. (2013). Economic factors affecting diversified farming systems.</w:t>
      </w:r>
      <w:r w:rsidRPr="006C0C0D">
        <w:rPr>
          <w:i/>
        </w:rPr>
        <w:t xml:space="preserve"> 18</w:t>
      </w:r>
      <w:r w:rsidRPr="006C0C0D">
        <w:t>(1). doi:</w:t>
      </w:r>
      <w:hyperlink r:id="rId19" w:history="1">
        <w:r w:rsidRPr="006C0C0D">
          <w:rPr>
            <w:rStyle w:val="Hyperlink"/>
          </w:rPr>
          <w:t>http://dx.doi.org/10.5751/ES-05574-180133</w:t>
        </w:r>
      </w:hyperlink>
    </w:p>
    <w:p w14:paraId="5F3FA9C4" w14:textId="42A9E095" w:rsidR="006C0C0D" w:rsidRPr="006C0C0D" w:rsidRDefault="006C0C0D" w:rsidP="006C0C0D">
      <w:pPr>
        <w:pStyle w:val="EndNoteBibliography"/>
        <w:spacing w:after="0"/>
        <w:ind w:left="720" w:hanging="720"/>
      </w:pPr>
      <w:r w:rsidRPr="006C0C0D">
        <w:t>Bwala, M. A., &amp; John, A. U. J. J. o. t. B. A. U. (2018). Profitability analysis of paddy production: A case of agricultural zone 1, Niger State Nigeria.</w:t>
      </w:r>
      <w:r w:rsidRPr="006C0C0D">
        <w:rPr>
          <w:i/>
        </w:rPr>
        <w:t xml:space="preserve"> 16</w:t>
      </w:r>
      <w:r w:rsidRPr="006C0C0D">
        <w:t>(1), 88-92. doi:</w:t>
      </w:r>
      <w:hyperlink r:id="rId20" w:history="1">
        <w:r w:rsidRPr="006C0C0D">
          <w:rPr>
            <w:rStyle w:val="Hyperlink"/>
          </w:rPr>
          <w:t>https://doi.org/10.3329/jbau.v16i1.36486</w:t>
        </w:r>
      </w:hyperlink>
    </w:p>
    <w:p w14:paraId="52029070" w14:textId="45C26BFC" w:rsidR="006C0C0D" w:rsidRPr="006C0C0D" w:rsidRDefault="006C0C0D" w:rsidP="006C0C0D">
      <w:pPr>
        <w:pStyle w:val="EndNoteBibliography"/>
        <w:spacing w:after="0"/>
        <w:ind w:left="720" w:hanging="720"/>
      </w:pPr>
      <w:r w:rsidRPr="006C0C0D">
        <w:t>Cornia, G. A. J. W. d. (1985). Farm size, land yields and the agricultural production function: An analysis for fifteen developing countries.</w:t>
      </w:r>
      <w:r w:rsidRPr="006C0C0D">
        <w:rPr>
          <w:i/>
        </w:rPr>
        <w:t xml:space="preserve"> 13</w:t>
      </w:r>
      <w:r w:rsidRPr="006C0C0D">
        <w:t>(4), 513-534. doi:</w:t>
      </w:r>
      <w:hyperlink r:id="rId21" w:history="1">
        <w:r w:rsidRPr="006C0C0D">
          <w:rPr>
            <w:rStyle w:val="Hyperlink"/>
          </w:rPr>
          <w:t>https://doi.org/10.1016/0305-750X(85)90054-3</w:t>
        </w:r>
      </w:hyperlink>
    </w:p>
    <w:p w14:paraId="14076DEC" w14:textId="77777777" w:rsidR="006C0C0D" w:rsidRPr="006C0C0D" w:rsidRDefault="006C0C0D" w:rsidP="006C0C0D">
      <w:pPr>
        <w:pStyle w:val="EndNoteBibliography"/>
        <w:spacing w:after="0"/>
        <w:ind w:left="720" w:hanging="720"/>
      </w:pPr>
      <w:r w:rsidRPr="006C0C0D">
        <w:t xml:space="preserve">Devi, G., Buechler, S. J. W. F. C. M. G. i. U. A., &amp; Food Security. Practical Action, L. (2009). Gender dimensions of urban and peri-urban agriculture in Hyderabad, India. 35-50. </w:t>
      </w:r>
    </w:p>
    <w:p w14:paraId="1C5265A0" w14:textId="110B00ED" w:rsidR="006C0C0D" w:rsidRPr="006C0C0D" w:rsidRDefault="006C0C0D" w:rsidP="006C0C0D">
      <w:pPr>
        <w:pStyle w:val="EndNoteBibliography"/>
        <w:spacing w:after="0"/>
        <w:ind w:left="720" w:hanging="720"/>
      </w:pPr>
      <w:r w:rsidRPr="006C0C0D">
        <w:t>Embaye, W. T., Bergtold, J. S., Archer, D., Flora, C., Andrango, G. C., Odening, M., &amp; Buysse, J. J. E. E. (2018). Examining farmers' willingness to grow and allocate land for oilseed crops for biofuel production.</w:t>
      </w:r>
      <w:r w:rsidRPr="006C0C0D">
        <w:rPr>
          <w:i/>
        </w:rPr>
        <w:t xml:space="preserve"> 71</w:t>
      </w:r>
      <w:r w:rsidRPr="006C0C0D">
        <w:t>, 311-320. doi:</w:t>
      </w:r>
      <w:hyperlink r:id="rId22" w:history="1">
        <w:r w:rsidRPr="006C0C0D">
          <w:rPr>
            <w:rStyle w:val="Hyperlink"/>
          </w:rPr>
          <w:t>https://doi.org/10.1016/j.eneco.2018.03.005</w:t>
        </w:r>
      </w:hyperlink>
    </w:p>
    <w:p w14:paraId="584CAA40" w14:textId="77777777" w:rsidR="006C0C0D" w:rsidRPr="006C0C0D" w:rsidRDefault="006C0C0D" w:rsidP="006C0C0D">
      <w:pPr>
        <w:pStyle w:val="EndNoteBibliography"/>
        <w:spacing w:after="0"/>
        <w:ind w:left="720" w:hanging="720"/>
      </w:pPr>
      <w:r w:rsidRPr="006C0C0D">
        <w:t>Etana, M. B., Aga, M. C., Fufa, B. O. J. J. o. B., Agriculture, &amp; Healthcare. (2019). Major onion (Allium cepa L.) production challenges in Ethiopia: A review.</w:t>
      </w:r>
      <w:r w:rsidRPr="006C0C0D">
        <w:rPr>
          <w:i/>
        </w:rPr>
        <w:t xml:space="preserve"> 9</w:t>
      </w:r>
      <w:r w:rsidRPr="006C0C0D">
        <w:t>(7), 42-47. doi:DOI: 10.7176/JBAH</w:t>
      </w:r>
    </w:p>
    <w:p w14:paraId="09EB8DA1" w14:textId="77777777" w:rsidR="006C0C0D" w:rsidRPr="006C0C0D" w:rsidRDefault="006C0C0D" w:rsidP="006C0C0D">
      <w:pPr>
        <w:pStyle w:val="EndNoteBibliography"/>
        <w:spacing w:after="0"/>
        <w:ind w:left="720" w:hanging="720"/>
      </w:pPr>
      <w:r w:rsidRPr="006C0C0D">
        <w:t xml:space="preserve">Fadairo, A. O., Atser, G., Ver, A. T., Akombo, R. A., &amp; Ikuemonisan, E. S. (2026). Profitability and crop choice dynamics in Nigerian smallholder vegetable systems and implications for intervention design in Benue State. </w:t>
      </w:r>
      <w:r w:rsidRPr="006C0C0D">
        <w:rPr>
          <w:i/>
        </w:rPr>
        <w:t>Discover Agriculture, 4</w:t>
      </w:r>
      <w:r w:rsidRPr="006C0C0D">
        <w:t xml:space="preserve">(1), 184. </w:t>
      </w:r>
    </w:p>
    <w:p w14:paraId="745ABC32" w14:textId="77777777" w:rsidR="006C0C0D" w:rsidRPr="006C0C0D" w:rsidRDefault="006C0C0D" w:rsidP="006C0C0D">
      <w:pPr>
        <w:pStyle w:val="EndNoteBibliography"/>
        <w:spacing w:after="0"/>
        <w:ind w:left="720" w:hanging="720"/>
      </w:pPr>
      <w:r w:rsidRPr="006C0C0D">
        <w:t>Ferris, S., Robbins, P., Best, R., Seville, D., Buxton, A., Shriver, J., &amp; Wei, E. J. M. B. (2014). Linking smallholder farmers to markets and the implications for extension and advisory services.</w:t>
      </w:r>
      <w:r w:rsidRPr="006C0C0D">
        <w:rPr>
          <w:i/>
        </w:rPr>
        <w:t xml:space="preserve"> 4</w:t>
      </w:r>
      <w:r w:rsidRPr="006C0C0D">
        <w:t xml:space="preserve">(10), 13-14. </w:t>
      </w:r>
    </w:p>
    <w:p w14:paraId="43C1D975" w14:textId="77777777" w:rsidR="006C0C0D" w:rsidRPr="006C0C0D" w:rsidRDefault="006C0C0D" w:rsidP="006C0C0D">
      <w:pPr>
        <w:pStyle w:val="EndNoteBibliography"/>
        <w:spacing w:after="0"/>
        <w:ind w:left="720" w:hanging="720"/>
      </w:pPr>
      <w:r w:rsidRPr="006C0C0D">
        <w:t xml:space="preserve">Fikadu, T. (2022). Technical efficiency of irrigated onion and tomato production in the central rift valley of Ethiopia. </w:t>
      </w:r>
      <w:r w:rsidRPr="006C0C0D">
        <w:rPr>
          <w:i/>
        </w:rPr>
        <w:t>Ethiopian Journal of Agricultural Sciences, 32</w:t>
      </w:r>
      <w:r w:rsidRPr="006C0C0D">
        <w:t xml:space="preserve">(3), 148-162. </w:t>
      </w:r>
    </w:p>
    <w:p w14:paraId="5A41CA9C" w14:textId="77777777" w:rsidR="006C0C0D" w:rsidRPr="006C0C0D" w:rsidRDefault="006C0C0D" w:rsidP="006C0C0D">
      <w:pPr>
        <w:pStyle w:val="EndNoteBibliography"/>
        <w:spacing w:after="0"/>
        <w:ind w:left="720" w:hanging="720"/>
      </w:pPr>
      <w:r w:rsidRPr="006C0C0D">
        <w:t>Fink, G., Jack, B. K., &amp; Masiye, F. J. A. E. R. (2020). Seasonal liquidity, rural labor markets, and agricultural production.</w:t>
      </w:r>
      <w:r w:rsidRPr="006C0C0D">
        <w:rPr>
          <w:i/>
        </w:rPr>
        <w:t xml:space="preserve"> 110</w:t>
      </w:r>
      <w:r w:rsidRPr="006C0C0D">
        <w:t>(11), 3351-3392. doi:DOI: 10.1257/aer.20180607</w:t>
      </w:r>
    </w:p>
    <w:p w14:paraId="008C1E4A" w14:textId="570F488B" w:rsidR="006C0C0D" w:rsidRPr="006C0C0D" w:rsidRDefault="006C0C0D" w:rsidP="006C0C0D">
      <w:pPr>
        <w:pStyle w:val="EndNoteBibliography"/>
        <w:spacing w:after="0"/>
        <w:ind w:left="720" w:hanging="720"/>
      </w:pPr>
      <w:r w:rsidRPr="006C0C0D">
        <w:t>Fischer, R., &amp; Connor, D. J. F. C. R. (2018). Issues for cropping and agricultural science in the next 20 years.</w:t>
      </w:r>
      <w:r w:rsidRPr="006C0C0D">
        <w:rPr>
          <w:i/>
        </w:rPr>
        <w:t xml:space="preserve"> 222</w:t>
      </w:r>
      <w:r w:rsidRPr="006C0C0D">
        <w:t>, 121-142. doi:</w:t>
      </w:r>
      <w:hyperlink r:id="rId23" w:history="1">
        <w:r w:rsidRPr="006C0C0D">
          <w:rPr>
            <w:rStyle w:val="Hyperlink"/>
          </w:rPr>
          <w:t>https://doi.org/10.1016/j.fcr.2018.03.008</w:t>
        </w:r>
      </w:hyperlink>
    </w:p>
    <w:p w14:paraId="7BC95D3D" w14:textId="7A3D8813" w:rsidR="006C0C0D" w:rsidRPr="006C0C0D" w:rsidRDefault="006C0C0D" w:rsidP="006C0C0D">
      <w:pPr>
        <w:pStyle w:val="EndNoteBibliography"/>
        <w:spacing w:after="0"/>
        <w:ind w:left="720" w:hanging="720"/>
      </w:pPr>
      <w:r w:rsidRPr="006C0C0D">
        <w:t>German, L. A., Bonanno, A. M., Foster, L. C., &amp; Cotula, L. J. W. D. (2020). “Inclusive business” in agriculture: Evidence from the evolution of agricultural value chains.</w:t>
      </w:r>
      <w:r w:rsidRPr="006C0C0D">
        <w:rPr>
          <w:i/>
        </w:rPr>
        <w:t xml:space="preserve"> 134</w:t>
      </w:r>
      <w:r w:rsidRPr="006C0C0D">
        <w:t>, 105018. doi:</w:t>
      </w:r>
      <w:hyperlink r:id="rId24" w:history="1">
        <w:r w:rsidRPr="006C0C0D">
          <w:rPr>
            <w:rStyle w:val="Hyperlink"/>
          </w:rPr>
          <w:t>https://doi.org/10.1016/j.worlddev.2020.105018</w:t>
        </w:r>
      </w:hyperlink>
    </w:p>
    <w:p w14:paraId="460392CC" w14:textId="529632D5" w:rsidR="006C0C0D" w:rsidRPr="006C0C0D" w:rsidRDefault="006C0C0D" w:rsidP="006C0C0D">
      <w:pPr>
        <w:pStyle w:val="EndNoteBibliography"/>
        <w:spacing w:after="0"/>
        <w:ind w:left="720" w:hanging="720"/>
      </w:pPr>
      <w:r w:rsidRPr="006C0C0D">
        <w:t>Githinji, M., Konstantinidis, C., &amp; Barenberg, A. J. E. D. W. P. S. (2011). Small and as productive: Female-headed households and the inverse relationship between land size and output in Kenya.</w:t>
      </w:r>
      <w:r w:rsidRPr="006C0C0D">
        <w:rPr>
          <w:i/>
        </w:rPr>
        <w:t xml:space="preserve"> 139</w:t>
      </w:r>
      <w:r w:rsidRPr="006C0C0D">
        <w:t>, 21. doi:</w:t>
      </w:r>
      <w:hyperlink r:id="rId25" w:history="1">
        <w:r w:rsidRPr="006C0C0D">
          <w:rPr>
            <w:rStyle w:val="Hyperlink"/>
          </w:rPr>
          <w:t>https://doi.org/10.7275/3317892</w:t>
        </w:r>
      </w:hyperlink>
      <w:r w:rsidRPr="006C0C0D">
        <w:t xml:space="preserve"> </w:t>
      </w:r>
    </w:p>
    <w:p w14:paraId="30284E7C" w14:textId="4BEABAEB" w:rsidR="006C0C0D" w:rsidRPr="006C0C0D" w:rsidRDefault="006C0C0D" w:rsidP="006C0C0D">
      <w:pPr>
        <w:pStyle w:val="EndNoteBibliography"/>
        <w:spacing w:after="0"/>
        <w:ind w:left="720" w:hanging="720"/>
      </w:pPr>
      <w:r w:rsidRPr="006C0C0D">
        <w:t xml:space="preserve">Hillenbrand, K. (2022). </w:t>
      </w:r>
      <w:r w:rsidRPr="006C0C0D">
        <w:rPr>
          <w:i/>
        </w:rPr>
        <w:t>Inclusive Business Models in Ethiopia: The Impact of Value Chain Inclusion on Smallholder Farmers’ Use of Land and Irrigation.</w:t>
      </w:r>
      <w:r w:rsidRPr="006C0C0D">
        <w:t xml:space="preserve"> Retrieved from </w:t>
      </w:r>
      <w:hyperlink r:id="rId26" w:history="1">
        <w:r w:rsidRPr="006C0C0D">
          <w:rPr>
            <w:rStyle w:val="Hyperlink"/>
          </w:rPr>
          <w:t>https://studenttheses.uu.nl/handle/20.500.12932/42497</w:t>
        </w:r>
      </w:hyperlink>
      <w:r w:rsidRPr="006C0C0D">
        <w:t xml:space="preserve"> </w:t>
      </w:r>
    </w:p>
    <w:p w14:paraId="40CCF900" w14:textId="77777777" w:rsidR="006C0C0D" w:rsidRPr="006C0C0D" w:rsidRDefault="006C0C0D" w:rsidP="006C0C0D">
      <w:pPr>
        <w:pStyle w:val="EndNoteBibliography"/>
        <w:spacing w:after="0"/>
        <w:ind w:left="720" w:hanging="720"/>
      </w:pPr>
      <w:r w:rsidRPr="006C0C0D">
        <w:t xml:space="preserve">Hossain, M. E., Shahrukh, S., &amp; Hossain, S. A. (2022). Chemical fertilizers and pesticides: impacts on soil degradation, groundwater, and human health in Bangladesh. In </w:t>
      </w:r>
      <w:r w:rsidRPr="006C0C0D">
        <w:rPr>
          <w:i/>
        </w:rPr>
        <w:t>Environmental degradation: challenges and strategies for mitigation</w:t>
      </w:r>
      <w:r w:rsidRPr="006C0C0D">
        <w:t xml:space="preserve"> (pp. 63-92): Springer.</w:t>
      </w:r>
    </w:p>
    <w:p w14:paraId="54846C40" w14:textId="77777777" w:rsidR="006C0C0D" w:rsidRPr="006C0C0D" w:rsidRDefault="006C0C0D" w:rsidP="006C0C0D">
      <w:pPr>
        <w:pStyle w:val="EndNoteBibliography"/>
        <w:spacing w:after="0"/>
        <w:ind w:left="720" w:hanging="720"/>
      </w:pPr>
      <w:r w:rsidRPr="006C0C0D">
        <w:t>Hunde, N. F. J. J. P. S. R. (2017). Opportunity, problems and production status of vegetables in Ethiopia: a review.</w:t>
      </w:r>
      <w:r w:rsidRPr="006C0C0D">
        <w:rPr>
          <w:i/>
        </w:rPr>
        <w:t xml:space="preserve"> 4</w:t>
      </w:r>
      <w:r w:rsidRPr="006C0C0D">
        <w:t xml:space="preserve">(2), 172. </w:t>
      </w:r>
    </w:p>
    <w:p w14:paraId="6F062CDD" w14:textId="77777777" w:rsidR="006C0C0D" w:rsidRPr="006C0C0D" w:rsidRDefault="006C0C0D" w:rsidP="006C0C0D">
      <w:pPr>
        <w:pStyle w:val="EndNoteBibliography"/>
        <w:spacing w:after="0"/>
        <w:ind w:left="720" w:hanging="720"/>
      </w:pPr>
      <w:r w:rsidRPr="006C0C0D">
        <w:lastRenderedPageBreak/>
        <w:t xml:space="preserve">Ilyas, S. M. (2010). </w:t>
      </w:r>
      <w:r w:rsidRPr="006C0C0D">
        <w:rPr>
          <w:i/>
        </w:rPr>
        <w:t>Best practices for efficient postharvest management of fruits and vegetables for higher value addition and profitability.</w:t>
      </w:r>
      <w:r w:rsidRPr="006C0C0D">
        <w:t xml:space="preserve"> Paper presented at the Technology on Reducing Post-harvest Losses and Maintaining Quality of Fruits and Vegetables Proceedings of 2010 AARDO Workshop.</w:t>
      </w:r>
    </w:p>
    <w:p w14:paraId="5F89B7AC" w14:textId="77777777" w:rsidR="006C0C0D" w:rsidRPr="006C0C0D" w:rsidRDefault="006C0C0D" w:rsidP="006C0C0D">
      <w:pPr>
        <w:pStyle w:val="EndNoteBibliography"/>
        <w:spacing w:after="0"/>
        <w:ind w:left="720" w:hanging="720"/>
      </w:pPr>
      <w:r w:rsidRPr="006C0C0D">
        <w:t xml:space="preserve">Jeanneaux, P. (2023). </w:t>
      </w:r>
      <w:r w:rsidRPr="006C0C0D">
        <w:rPr>
          <w:i/>
        </w:rPr>
        <w:t>Analysis of the US onion industry with a focus on New York state issues.</w:t>
      </w:r>
      <w:r w:rsidRPr="006C0C0D">
        <w:t xml:space="preserve"> VetagroSup; UMR Territoires; Cornell University CALS, </w:t>
      </w:r>
    </w:p>
    <w:p w14:paraId="003FD96B" w14:textId="7404A1DB" w:rsidR="006C0C0D" w:rsidRPr="006C0C0D" w:rsidRDefault="006C0C0D" w:rsidP="006C0C0D">
      <w:pPr>
        <w:pStyle w:val="EndNoteBibliography"/>
        <w:spacing w:after="0"/>
        <w:ind w:left="720" w:hanging="720"/>
      </w:pPr>
      <w:r w:rsidRPr="006C0C0D">
        <w:t>Kale, R. B., Gavhane, A. D., Thorat, V. S., Gadge, S., Wayal, S. M., Gaikwad, S. Y., . . . Mahajan, V. J. B. P. B. (2024). Efficiency dynamics among onion growers in Maharashtra: a comparative analysis of drip irrigation adopters and non-adopters.</w:t>
      </w:r>
      <w:r w:rsidRPr="006C0C0D">
        <w:rPr>
          <w:i/>
        </w:rPr>
        <w:t xml:space="preserve"> 24</w:t>
      </w:r>
      <w:r w:rsidRPr="006C0C0D">
        <w:t>(1), 237. doi:</w:t>
      </w:r>
      <w:hyperlink r:id="rId27" w:history="1">
        <w:r w:rsidRPr="006C0C0D">
          <w:rPr>
            <w:rStyle w:val="Hyperlink"/>
          </w:rPr>
          <w:t>https://doi.org/10.1186/s12870-024-04875-2</w:t>
        </w:r>
      </w:hyperlink>
    </w:p>
    <w:p w14:paraId="0C0F7E58" w14:textId="50D652FE" w:rsidR="006C0C0D" w:rsidRPr="006C0C0D" w:rsidRDefault="006C0C0D" w:rsidP="006C0C0D">
      <w:pPr>
        <w:pStyle w:val="EndNoteBibliography"/>
        <w:spacing w:after="0"/>
        <w:ind w:left="720" w:hanging="720"/>
      </w:pPr>
      <w:r w:rsidRPr="006C0C0D">
        <w:t>Kebe, A. A., Hameed, S., Farooq, M. S., Sufyan, A., Malook, M. B., Awais, S., . . . Abbas, N. J. A. J. o. R. i. C. S. (2023). Enhancing Crop Protection and Yield through Precision Agriculture and Integrated Pest Management: A Comprehensive Review.</w:t>
      </w:r>
      <w:r w:rsidRPr="006C0C0D">
        <w:rPr>
          <w:i/>
        </w:rPr>
        <w:t xml:space="preserve"> 8</w:t>
      </w:r>
      <w:r w:rsidRPr="006C0C0D">
        <w:t xml:space="preserve">(4), 443-453. doi: </w:t>
      </w:r>
      <w:hyperlink r:id="rId28" w:history="1">
        <w:r w:rsidRPr="006C0C0D">
          <w:rPr>
            <w:rStyle w:val="Hyperlink"/>
          </w:rPr>
          <w:t>https://doi.org/10.9734/ajrcs/2023/v8i4225</w:t>
        </w:r>
      </w:hyperlink>
    </w:p>
    <w:p w14:paraId="33732297" w14:textId="77777777" w:rsidR="006C0C0D" w:rsidRPr="006C0C0D" w:rsidRDefault="006C0C0D" w:rsidP="006C0C0D">
      <w:pPr>
        <w:pStyle w:val="EndNoteBibliography"/>
        <w:spacing w:after="0"/>
        <w:ind w:left="720" w:hanging="720"/>
      </w:pPr>
      <w:r w:rsidRPr="006C0C0D">
        <w:t>Khan, A., Hassan, M., Shahriyar, A. K. J. A. R. i. A. I., &amp; Computing, C. (2023). Optimizing onion crop management: a smart agriculture framework with IoT sensors and cloud technology.</w:t>
      </w:r>
      <w:r w:rsidRPr="006C0C0D">
        <w:rPr>
          <w:i/>
        </w:rPr>
        <w:t xml:space="preserve"> 6</w:t>
      </w:r>
      <w:r w:rsidRPr="006C0C0D">
        <w:t xml:space="preserve">(1), 49-67. </w:t>
      </w:r>
    </w:p>
    <w:p w14:paraId="2FC72090" w14:textId="1644101F" w:rsidR="006C0C0D" w:rsidRPr="006C0C0D" w:rsidRDefault="006C0C0D" w:rsidP="006C0C0D">
      <w:pPr>
        <w:pStyle w:val="EndNoteBibliography"/>
        <w:spacing w:after="0"/>
        <w:ind w:left="720" w:hanging="720"/>
      </w:pPr>
      <w:r w:rsidRPr="006C0C0D">
        <w:t>Khanpara, B., Mehta, T., &amp; Bharad, N. J. P. A. (2024). Mechanization in Onion Harvesting: A Review of Traditional and Modern Approaches.</w:t>
      </w:r>
      <w:r w:rsidRPr="006C0C0D">
        <w:rPr>
          <w:i/>
        </w:rPr>
        <w:t xml:space="preserve"> 24</w:t>
      </w:r>
      <w:r w:rsidRPr="006C0C0D">
        <w:t xml:space="preserve">, 21-28. doi:: </w:t>
      </w:r>
      <w:hyperlink r:id="rId29" w:history="1">
        <w:r w:rsidRPr="006C0C0D">
          <w:rPr>
            <w:rStyle w:val="Hyperlink"/>
          </w:rPr>
          <w:t>https://doi.org/10.51470</w:t>
        </w:r>
      </w:hyperlink>
    </w:p>
    <w:p w14:paraId="6AED2307" w14:textId="77777777" w:rsidR="006C0C0D" w:rsidRPr="006C0C0D" w:rsidRDefault="006C0C0D" w:rsidP="006C0C0D">
      <w:pPr>
        <w:pStyle w:val="EndNoteBibliography"/>
        <w:spacing w:after="0"/>
        <w:ind w:left="720" w:hanging="720"/>
      </w:pPr>
      <w:r w:rsidRPr="006C0C0D">
        <w:t>Kiaya, V. J. T. P. o. P. L., Action Contre la Faim. (2014). Post-harvest losses and strategies to reduce them.</w:t>
      </w:r>
      <w:r w:rsidRPr="006C0C0D">
        <w:rPr>
          <w:i/>
        </w:rPr>
        <w:t xml:space="preserve"> 25</w:t>
      </w:r>
      <w:r w:rsidRPr="006C0C0D">
        <w:t xml:space="preserve">(3), 1-25. </w:t>
      </w:r>
    </w:p>
    <w:p w14:paraId="24677DEF" w14:textId="77777777" w:rsidR="006C0C0D" w:rsidRPr="006C0C0D" w:rsidRDefault="006C0C0D" w:rsidP="006C0C0D">
      <w:pPr>
        <w:pStyle w:val="EndNoteBibliography"/>
        <w:spacing w:after="0"/>
        <w:ind w:left="720" w:hanging="720"/>
      </w:pPr>
      <w:r w:rsidRPr="006C0C0D">
        <w:t xml:space="preserve">Kitinoja, L., &amp; Kader, A. A. (2002). </w:t>
      </w:r>
      <w:r w:rsidRPr="006C0C0D">
        <w:rPr>
          <w:i/>
        </w:rPr>
        <w:t>Small-scale postharvest handling practices: a manual for horticultural crops</w:t>
      </w:r>
      <w:r w:rsidRPr="006C0C0D">
        <w:t>: University of California, Davis, Postharvest Technology Research and ….</w:t>
      </w:r>
    </w:p>
    <w:p w14:paraId="68794D54" w14:textId="7598B765" w:rsidR="006C0C0D" w:rsidRPr="006C0C0D" w:rsidRDefault="006C0C0D" w:rsidP="006C0C0D">
      <w:pPr>
        <w:pStyle w:val="EndNoteBibliography"/>
        <w:spacing w:after="0"/>
        <w:ind w:left="720" w:hanging="720"/>
      </w:pPr>
      <w:r w:rsidRPr="006C0C0D">
        <w:t>Namara, R. E., Hanjra, M. A., Castillo, G. E., Ravnborg, H. M., Smith, L., &amp; Van Koppen, B. J. A. w. m. (2010). Agricultural water management and poverty linkages.</w:t>
      </w:r>
      <w:r w:rsidRPr="006C0C0D">
        <w:rPr>
          <w:i/>
        </w:rPr>
        <w:t xml:space="preserve"> 97</w:t>
      </w:r>
      <w:r w:rsidRPr="006C0C0D">
        <w:t>(4), 520-527. doi:</w:t>
      </w:r>
      <w:hyperlink r:id="rId30" w:history="1">
        <w:r w:rsidRPr="006C0C0D">
          <w:rPr>
            <w:rStyle w:val="Hyperlink"/>
          </w:rPr>
          <w:t>https://doi.org/10.1016/j.agwat.2009.05.007</w:t>
        </w:r>
      </w:hyperlink>
    </w:p>
    <w:p w14:paraId="5FCCED37" w14:textId="77777777" w:rsidR="006C0C0D" w:rsidRPr="006C0C0D" w:rsidRDefault="006C0C0D" w:rsidP="006C0C0D">
      <w:pPr>
        <w:pStyle w:val="EndNoteBibliography"/>
        <w:spacing w:after="0"/>
        <w:ind w:left="720" w:hanging="720"/>
      </w:pPr>
      <w:r w:rsidRPr="006C0C0D">
        <w:t xml:space="preserve">Nigatu, M. (2016). </w:t>
      </w:r>
      <w:r w:rsidRPr="006C0C0D">
        <w:rPr>
          <w:i/>
        </w:rPr>
        <w:t>Assessment of onion production practices and effects of N: P2O5: S fertilizers rates on yield and yield components of onion (Allium cepa l.) under irrigated farming system in Dembiya District, Amhara Region, Ethiopia.</w:t>
      </w:r>
      <w:r w:rsidRPr="006C0C0D">
        <w:t xml:space="preserve"> Bahir Dar University, </w:t>
      </w:r>
    </w:p>
    <w:p w14:paraId="68020B18" w14:textId="77777777" w:rsidR="006C0C0D" w:rsidRPr="006C0C0D" w:rsidRDefault="006C0C0D" w:rsidP="006C0C0D">
      <w:pPr>
        <w:pStyle w:val="EndNoteBibliography"/>
        <w:spacing w:after="0"/>
        <w:ind w:left="720" w:hanging="720"/>
      </w:pPr>
      <w:r w:rsidRPr="006C0C0D">
        <w:t xml:space="preserve">Nigussie, A., Kuma, Y., Adisu, A., Alemu, T., &amp; Desalegn, K. (2015a). Onion production for income generation in small scale irrigation users agropastoral households of Ethiopia. </w:t>
      </w:r>
      <w:r w:rsidRPr="006C0C0D">
        <w:rPr>
          <w:i/>
        </w:rPr>
        <w:t>Journal of Horticulture, 2</w:t>
      </w:r>
      <w:r w:rsidRPr="006C0C0D">
        <w:t xml:space="preserve">(3), 1-5. </w:t>
      </w:r>
    </w:p>
    <w:p w14:paraId="6FDE0C8A" w14:textId="77777777" w:rsidR="006C0C0D" w:rsidRPr="006C0C0D" w:rsidRDefault="006C0C0D" w:rsidP="006C0C0D">
      <w:pPr>
        <w:pStyle w:val="EndNoteBibliography"/>
        <w:spacing w:after="0"/>
        <w:ind w:left="720" w:hanging="720"/>
      </w:pPr>
      <w:r w:rsidRPr="006C0C0D">
        <w:t>Nigussie, A., Kuma, Y., Adisu, A., Alemu, T., &amp; Desalegn, K. J. J. o. H. (2015b). Onion production for income generation in small scale irrigation users agropastoral households of Ethiopia.</w:t>
      </w:r>
      <w:r w:rsidRPr="006C0C0D">
        <w:rPr>
          <w:i/>
        </w:rPr>
        <w:t xml:space="preserve"> 2</w:t>
      </w:r>
      <w:r w:rsidRPr="006C0C0D">
        <w:t>(3), 1-5. doi:doi:10.4172/2376-0354.1000145</w:t>
      </w:r>
    </w:p>
    <w:p w14:paraId="1706BC39" w14:textId="72CA94E6" w:rsidR="006C0C0D" w:rsidRPr="006C0C0D" w:rsidRDefault="006C0C0D" w:rsidP="006C0C0D">
      <w:pPr>
        <w:pStyle w:val="EndNoteBibliography"/>
        <w:spacing w:after="0"/>
        <w:ind w:left="720" w:hanging="720"/>
      </w:pPr>
      <w:r w:rsidRPr="006C0C0D">
        <w:t>Nolte, K., &amp; Ostermeier, M. J. W. D. (2017). Labour market effects of large-scale agricultural investment: conceptual considerations and estimated employment effects.</w:t>
      </w:r>
      <w:r w:rsidRPr="006C0C0D">
        <w:rPr>
          <w:i/>
        </w:rPr>
        <w:t xml:space="preserve"> 98</w:t>
      </w:r>
      <w:r w:rsidRPr="006C0C0D">
        <w:t>, 430-446. doi:</w:t>
      </w:r>
      <w:hyperlink r:id="rId31" w:history="1">
        <w:r w:rsidRPr="006C0C0D">
          <w:rPr>
            <w:rStyle w:val="Hyperlink"/>
          </w:rPr>
          <w:t>https://doi.org/10.1016/j.worlddev.2017.05.012</w:t>
        </w:r>
      </w:hyperlink>
    </w:p>
    <w:p w14:paraId="055814E0" w14:textId="77777777" w:rsidR="006C0C0D" w:rsidRPr="006C0C0D" w:rsidRDefault="006C0C0D" w:rsidP="006C0C0D">
      <w:pPr>
        <w:pStyle w:val="EndNoteBibliography"/>
        <w:spacing w:after="0"/>
        <w:ind w:left="720" w:hanging="720"/>
      </w:pPr>
      <w:r w:rsidRPr="006C0C0D">
        <w:t xml:space="preserve">Osei-Kwarteng, M., Ogwu, M. C., Mahunu, G. K., &amp; Afoakwah, N. A. (2024). Post-harvest Food Quality and Safety in the Global South: Sustainable Management Perspectives. In </w:t>
      </w:r>
      <w:r w:rsidRPr="006C0C0D">
        <w:rPr>
          <w:i/>
        </w:rPr>
        <w:t>Food Safety and Quality in the Global South</w:t>
      </w:r>
      <w:r w:rsidRPr="006C0C0D">
        <w:t xml:space="preserve"> (pp. 151-195): Springer.</w:t>
      </w:r>
    </w:p>
    <w:p w14:paraId="669D8376" w14:textId="77777777" w:rsidR="006C0C0D" w:rsidRPr="006C0C0D" w:rsidRDefault="006C0C0D" w:rsidP="006C0C0D">
      <w:pPr>
        <w:pStyle w:val="EndNoteBibliography"/>
        <w:spacing w:after="0"/>
        <w:ind w:left="720" w:hanging="720"/>
      </w:pPr>
      <w:r w:rsidRPr="006C0C0D">
        <w:t xml:space="preserve">Panancheri, A. (2023). </w:t>
      </w:r>
      <w:r w:rsidRPr="006C0C0D">
        <w:rPr>
          <w:i/>
        </w:rPr>
        <w:t>Economics of high-tech farming in Kerala: an explorative analysis of greenhouse vegetable farms.</w:t>
      </w:r>
      <w:r w:rsidRPr="006C0C0D">
        <w:t xml:space="preserve"> PG and Research Department of Economics, St. Joseph’s College (Autonomous …, </w:t>
      </w:r>
    </w:p>
    <w:p w14:paraId="1A897E1D" w14:textId="370636D6" w:rsidR="006C0C0D" w:rsidRPr="006C0C0D" w:rsidRDefault="006C0C0D" w:rsidP="006C0C0D">
      <w:pPr>
        <w:pStyle w:val="EndNoteBibliography"/>
        <w:spacing w:after="0"/>
        <w:ind w:left="720" w:hanging="720"/>
      </w:pPr>
      <w:r w:rsidRPr="006C0C0D">
        <w:t xml:space="preserve">Pareek, S., Sagar, N. A., Sharma, S., Kumar, V. J. F., Chemistry, V. P., &amp; Human Health, n. E. (2017). Onion (allium cepa L.). 1145-1162. doi: </w:t>
      </w:r>
      <w:hyperlink r:id="rId32" w:history="1">
        <w:r w:rsidRPr="006C0C0D">
          <w:rPr>
            <w:rStyle w:val="Hyperlink"/>
          </w:rPr>
          <w:t>https://doi.org/10.1002/9781119158042.ch58</w:t>
        </w:r>
      </w:hyperlink>
    </w:p>
    <w:p w14:paraId="0C4A5B73" w14:textId="77777777" w:rsidR="006C0C0D" w:rsidRPr="006C0C0D" w:rsidRDefault="006C0C0D" w:rsidP="006C0C0D">
      <w:pPr>
        <w:pStyle w:val="EndNoteBibliography"/>
        <w:spacing w:after="0"/>
        <w:ind w:left="720" w:hanging="720"/>
      </w:pPr>
      <w:r w:rsidRPr="006C0C0D">
        <w:t xml:space="preserve">Ruales, J. H., Seriño, M. N. V., Ratilla, T. C., Cuizon, J. G., &amp; Enerlan, W. C. (2020). Investment appraisal of selected climate smart agricultural (CSA) practices among small scale coconut farmers in Leyte, Philippines. </w:t>
      </w:r>
    </w:p>
    <w:p w14:paraId="777055F4" w14:textId="747DDF0A" w:rsidR="006C0C0D" w:rsidRPr="006C0C0D" w:rsidRDefault="006C0C0D" w:rsidP="006C0C0D">
      <w:pPr>
        <w:pStyle w:val="EndNoteBibliography"/>
        <w:spacing w:after="0"/>
        <w:ind w:left="720" w:hanging="720"/>
      </w:pPr>
      <w:r w:rsidRPr="006C0C0D">
        <w:t>Ryall, M. D., &amp; Sorenson, O. J. M. S. (2007). Brokers and competitive advantage.</w:t>
      </w:r>
      <w:r w:rsidRPr="006C0C0D">
        <w:rPr>
          <w:i/>
        </w:rPr>
        <w:t xml:space="preserve"> 53</w:t>
      </w:r>
      <w:r w:rsidRPr="006C0C0D">
        <w:t>(4), 566-583. doi:</w:t>
      </w:r>
      <w:hyperlink r:id="rId33" w:history="1">
        <w:r w:rsidRPr="006C0C0D">
          <w:rPr>
            <w:rStyle w:val="Hyperlink"/>
          </w:rPr>
          <w:t>https://doi.org/10.1287/mnsc.1060.0675</w:t>
        </w:r>
      </w:hyperlink>
    </w:p>
    <w:p w14:paraId="7848BFCD" w14:textId="77777777" w:rsidR="006C0C0D" w:rsidRPr="006C0C0D" w:rsidRDefault="006C0C0D" w:rsidP="006C0C0D">
      <w:pPr>
        <w:pStyle w:val="EndNoteBibliography"/>
        <w:spacing w:after="0"/>
        <w:ind w:left="720" w:hanging="720"/>
      </w:pPr>
      <w:r w:rsidRPr="006C0C0D">
        <w:t>Sykuta, M. E., &amp; Cook, M. L. J. A. j. o. a. e. (2001). A new institutional economics approach to contracts and cooperatives.</w:t>
      </w:r>
      <w:r w:rsidRPr="006C0C0D">
        <w:rPr>
          <w:i/>
        </w:rPr>
        <w:t xml:space="preserve"> 83</w:t>
      </w:r>
      <w:r w:rsidRPr="006C0C0D">
        <w:t xml:space="preserve">(5), 1273-1279. </w:t>
      </w:r>
    </w:p>
    <w:p w14:paraId="623E649B" w14:textId="77777777" w:rsidR="006C0C0D" w:rsidRPr="006C0C0D" w:rsidRDefault="006C0C0D" w:rsidP="006C0C0D">
      <w:pPr>
        <w:pStyle w:val="EndNoteBibliography"/>
        <w:spacing w:after="0"/>
        <w:ind w:left="720" w:hanging="720"/>
      </w:pPr>
      <w:r w:rsidRPr="006C0C0D">
        <w:lastRenderedPageBreak/>
        <w:t xml:space="preserve">Watson, J. R., Armerin, F., Klinger, D. H., &amp; Belton, B. (2018). Resilience through risk management: cooperative insurance in small-holder aquaculture systems. </w:t>
      </w:r>
      <w:r w:rsidRPr="006C0C0D">
        <w:rPr>
          <w:i/>
        </w:rPr>
        <w:t>Heliyon, 4</w:t>
      </w:r>
      <w:r w:rsidRPr="006C0C0D">
        <w:t xml:space="preserve">(9). </w:t>
      </w:r>
    </w:p>
    <w:p w14:paraId="022E188F" w14:textId="1753EADB" w:rsidR="006C0C0D" w:rsidRPr="006C0C0D" w:rsidRDefault="006C0C0D" w:rsidP="006C0C0D">
      <w:pPr>
        <w:pStyle w:val="EndNoteBibliography"/>
        <w:spacing w:after="0"/>
        <w:ind w:left="720" w:hanging="720"/>
      </w:pPr>
      <w:r w:rsidRPr="006C0C0D">
        <w:t>Yeshiwas, Y., Alemayehu, M., &amp; Adgo, E. J. H. (2023). The rise and fall of onion production; its multiple constraints on pre-harvest and post-harvest management issues along the supply chain in northwest Ethiopia.</w:t>
      </w:r>
      <w:r w:rsidRPr="006C0C0D">
        <w:rPr>
          <w:i/>
        </w:rPr>
        <w:t xml:space="preserve"> 9</w:t>
      </w:r>
      <w:r w:rsidRPr="006C0C0D">
        <w:t>(5). doi:</w:t>
      </w:r>
      <w:hyperlink r:id="rId34" w:history="1">
        <w:r w:rsidRPr="006C0C0D">
          <w:rPr>
            <w:rStyle w:val="Hyperlink"/>
          </w:rPr>
          <w:t>https://doi.org/10.1016/j.heliyon.2023.e15905</w:t>
        </w:r>
      </w:hyperlink>
      <w:r w:rsidRPr="006C0C0D">
        <w:t xml:space="preserve"> </w:t>
      </w:r>
    </w:p>
    <w:p w14:paraId="50E84DA2" w14:textId="3ABF43FD" w:rsidR="006C0C0D" w:rsidRPr="006C0C0D" w:rsidRDefault="006C0C0D" w:rsidP="006C0C0D">
      <w:pPr>
        <w:pStyle w:val="EndNoteBibliography"/>
        <w:spacing w:after="0"/>
        <w:ind w:left="720" w:hanging="720"/>
      </w:pPr>
      <w:r w:rsidRPr="006C0C0D">
        <w:t>Zegeye, M. B., Alemu, T. A., Sisay, M. A., Mulaw, S. G., &amp; Abate, T. W. J. P. o. (2024). Factors affecting onion production: An empirical study in the Raya Kobo district, Amhara regional state, Ethiopia.</w:t>
      </w:r>
      <w:r w:rsidRPr="006C0C0D">
        <w:rPr>
          <w:i/>
        </w:rPr>
        <w:t xml:space="preserve"> 19</w:t>
      </w:r>
      <w:r w:rsidRPr="006C0C0D">
        <w:t>(6), e0305134. doi:</w:t>
      </w:r>
      <w:hyperlink r:id="rId35" w:history="1">
        <w:r w:rsidRPr="006C0C0D">
          <w:rPr>
            <w:rStyle w:val="Hyperlink"/>
          </w:rPr>
          <w:t>https://doi.org/10.1371/journal.pone.0305134</w:t>
        </w:r>
      </w:hyperlink>
    </w:p>
    <w:p w14:paraId="6E169EF6" w14:textId="77777777" w:rsidR="006C0C0D" w:rsidRPr="006C0C0D" w:rsidRDefault="006C0C0D" w:rsidP="006C0C0D">
      <w:pPr>
        <w:pStyle w:val="EndNoteBibliography"/>
        <w:spacing w:after="0"/>
        <w:ind w:left="720" w:hanging="720"/>
      </w:pPr>
      <w:r w:rsidRPr="006C0C0D">
        <w:t xml:space="preserve">Zhou, Y. (2015). Jain Irrigation Systems Limited: Creating Shared Value for Small Onion Growers. In </w:t>
      </w:r>
      <w:r w:rsidRPr="006C0C0D">
        <w:rPr>
          <w:i/>
        </w:rPr>
        <w:t>Knowledge Driven Development</w:t>
      </w:r>
      <w:r w:rsidRPr="006C0C0D">
        <w:t xml:space="preserve"> (pp. 163-179): Elsevier.</w:t>
      </w:r>
    </w:p>
    <w:p w14:paraId="7387EE5B" w14:textId="77777777" w:rsidR="006C0C0D" w:rsidRPr="006C0C0D" w:rsidRDefault="006C0C0D" w:rsidP="006C0C0D">
      <w:pPr>
        <w:pStyle w:val="EndNoteBibliography"/>
        <w:ind w:left="720" w:hanging="720"/>
      </w:pPr>
      <w:r w:rsidRPr="006C0C0D">
        <w:t xml:space="preserve">Zorn, A., Esteves, M., Baur, I., &amp; Lips, M. (2018). Financial ratios as indicators of economic sustainability: A quantitative analysis for Swiss dairy farms. </w:t>
      </w:r>
      <w:r w:rsidRPr="006C0C0D">
        <w:rPr>
          <w:i/>
        </w:rPr>
        <w:t>Sustainability, 10</w:t>
      </w:r>
      <w:r w:rsidRPr="006C0C0D">
        <w:t xml:space="preserve">(8), 2942. </w:t>
      </w:r>
    </w:p>
    <w:p w14:paraId="27C35D2C" w14:textId="66DAD0C4" w:rsidR="00C5391D" w:rsidRPr="001A2FAD" w:rsidRDefault="00C5391D" w:rsidP="001A2FAD">
      <w:pPr>
        <w:spacing w:line="276" w:lineRule="auto"/>
        <w:jc w:val="both"/>
        <w:rPr>
          <w:rFonts w:ascii="Times New Roman" w:hAnsi="Times New Roman" w:cs="Times New Roman"/>
        </w:rPr>
      </w:pPr>
      <w:r w:rsidRPr="001A2FAD">
        <w:rPr>
          <w:rFonts w:ascii="Times New Roman" w:hAnsi="Times New Roman" w:cs="Times New Roman"/>
        </w:rPr>
        <w:fldChar w:fldCharType="end"/>
      </w:r>
      <w:bookmarkEnd w:id="24"/>
    </w:p>
    <w:p w14:paraId="503EA6B5" w14:textId="34DC72D4" w:rsidR="00AC42CA" w:rsidRPr="001A2FAD" w:rsidRDefault="00AC42CA" w:rsidP="001A2FAD">
      <w:pPr>
        <w:jc w:val="both"/>
        <w:rPr>
          <w:rFonts w:ascii="Times New Roman" w:hAnsi="Times New Roman" w:cs="Times New Roman"/>
        </w:rPr>
      </w:pPr>
    </w:p>
    <w:sectPr w:rsidR="00AC42CA" w:rsidRPr="001A2FAD" w:rsidSect="00457AE0">
      <w:foot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297DD8" w14:textId="77777777" w:rsidR="00BE0947" w:rsidRDefault="00BE0947">
      <w:pPr>
        <w:spacing w:after="0" w:line="240" w:lineRule="auto"/>
      </w:pPr>
      <w:r>
        <w:separator/>
      </w:r>
    </w:p>
  </w:endnote>
  <w:endnote w:type="continuationSeparator" w:id="0">
    <w:p w14:paraId="2BC30D94" w14:textId="77777777" w:rsidR="00BE0947" w:rsidRDefault="00BE0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9792722"/>
      <w:docPartObj>
        <w:docPartGallery w:val="Page Numbers (Bottom of Page)"/>
        <w:docPartUnique/>
      </w:docPartObj>
    </w:sdtPr>
    <w:sdtEndPr>
      <w:rPr>
        <w:noProof/>
      </w:rPr>
    </w:sdtEndPr>
    <w:sdtContent>
      <w:p w14:paraId="71446D91" w14:textId="0EA7FFAC" w:rsidR="009C4C9D" w:rsidRDefault="009C4C9D">
        <w:pPr>
          <w:pStyle w:val="Footer"/>
          <w:jc w:val="center"/>
        </w:pPr>
        <w:r>
          <w:fldChar w:fldCharType="begin"/>
        </w:r>
        <w:r>
          <w:instrText xml:space="preserve"> PAGE   \* MERGEFORMAT </w:instrText>
        </w:r>
        <w:r>
          <w:fldChar w:fldCharType="separate"/>
        </w:r>
        <w:r w:rsidR="00836107">
          <w:rPr>
            <w:noProof/>
          </w:rPr>
          <w:t>1</w:t>
        </w:r>
        <w:r>
          <w:rPr>
            <w:noProof/>
          </w:rPr>
          <w:fldChar w:fldCharType="end"/>
        </w:r>
      </w:p>
    </w:sdtContent>
  </w:sdt>
  <w:p w14:paraId="692C596C" w14:textId="77777777" w:rsidR="009C4C9D" w:rsidRDefault="009C4C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E21D71" w14:textId="77777777" w:rsidR="00BE0947" w:rsidRDefault="00BE0947">
      <w:pPr>
        <w:spacing w:after="0" w:line="240" w:lineRule="auto"/>
      </w:pPr>
      <w:r>
        <w:separator/>
      </w:r>
    </w:p>
  </w:footnote>
  <w:footnote w:type="continuationSeparator" w:id="0">
    <w:p w14:paraId="78EB4B53" w14:textId="77777777" w:rsidR="00BE0947" w:rsidRDefault="00BE09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E4061"/>
    <w:multiLevelType w:val="multilevel"/>
    <w:tmpl w:val="244E4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EF14C9"/>
    <w:multiLevelType w:val="multilevel"/>
    <w:tmpl w:val="5368281C"/>
    <w:lvl w:ilvl="0">
      <w:start w:val="1"/>
      <w:numFmt w:val="decimal"/>
      <w:pStyle w:val="Heading1"/>
      <w:lvlText w:val="%1."/>
      <w:lvlJc w:val="left"/>
      <w:pPr>
        <w:ind w:left="720" w:hanging="360"/>
      </w:pPr>
    </w:lvl>
    <w:lvl w:ilvl="1">
      <w:start w:val="1"/>
      <w:numFmt w:val="decimal"/>
      <w:isLgl/>
      <w:lvlText w:val="%1.%2"/>
      <w:lvlJc w:val="left"/>
      <w:pPr>
        <w:ind w:left="63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AFE3B5E"/>
    <w:multiLevelType w:val="multilevel"/>
    <w:tmpl w:val="A68E2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8494217"/>
    <w:multiLevelType w:val="hybridMultilevel"/>
    <w:tmpl w:val="6B26294A"/>
    <w:lvl w:ilvl="0" w:tplc="E7CE5138">
      <w:start w:val="1"/>
      <w:numFmt w:val="lowerRoman"/>
      <w:pStyle w:val="Heading4"/>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1F6BAB"/>
    <w:multiLevelType w:val="multilevel"/>
    <w:tmpl w:val="B9B84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E875501"/>
    <w:multiLevelType w:val="hybridMultilevel"/>
    <w:tmpl w:val="5A0CEA78"/>
    <w:lvl w:ilvl="0" w:tplc="931E6B72">
      <w:start w:val="1"/>
      <w:numFmt w:val="decimal"/>
      <w:pStyle w:val="Heading2"/>
      <w:lvlText w:val="3.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38218E"/>
    <w:multiLevelType w:val="hybridMultilevel"/>
    <w:tmpl w:val="FFAAA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A906A4E"/>
    <w:multiLevelType w:val="hybridMultilevel"/>
    <w:tmpl w:val="F1806114"/>
    <w:lvl w:ilvl="0" w:tplc="48DA2E20">
      <w:start w:val="1"/>
      <w:numFmt w:val="decimal"/>
      <w:pStyle w:val="Heading3"/>
      <w:lvlText w:val="3. 5.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E1B5A0F"/>
    <w:multiLevelType w:val="multilevel"/>
    <w:tmpl w:val="70329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2503EF5"/>
    <w:multiLevelType w:val="multilevel"/>
    <w:tmpl w:val="D9EE1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7"/>
  </w:num>
  <w:num w:numId="4">
    <w:abstractNumId w:val="6"/>
  </w:num>
  <w:num w:numId="5">
    <w:abstractNumId w:val="2"/>
  </w:num>
  <w:num w:numId="6">
    <w:abstractNumId w:val="4"/>
  </w:num>
  <w:num w:numId="7">
    <w:abstractNumId w:val="8"/>
  </w:num>
  <w:num w:numId="8">
    <w:abstractNumId w:val="0"/>
  </w:num>
  <w:num w:numId="9">
    <w:abstractNumId w:val="9"/>
  </w:num>
  <w:num w:numId="10">
    <w:abstractNumId w:val="3"/>
  </w:num>
  <w:num w:numId="11">
    <w:abstractNumId w:val="1"/>
    <w:lvlOverride w:ilvl="0">
      <w:startOverride w:val="3"/>
    </w:lvlOverride>
    <w:lvlOverride w:ilvl="1">
      <w:startOverride w:val="2"/>
    </w:lvlOverride>
    <w:lvlOverride w:ilvl="2">
      <w:startOverride w:val="1"/>
    </w:lvlOverride>
  </w:num>
  <w:num w:numId="12">
    <w:abstractNumId w:val="3"/>
    <w:lvlOverride w:ilvl="0">
      <w:startOverride w:val="1"/>
    </w:lvlOverride>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v2farxaa5rz9serswtvtwa6e9a00x9tv5sf&quot;&gt;Onion Storage&lt;record-ids&gt;&lt;item&gt;6&lt;/item&gt;&lt;item&gt;8&lt;/item&gt;&lt;item&gt;12&lt;/item&gt;&lt;item&gt;14&lt;/item&gt;&lt;item&gt;15&lt;/item&gt;&lt;item&gt;16&lt;/item&gt;&lt;item&gt;17&lt;/item&gt;&lt;item&gt;18&lt;/item&gt;&lt;item&gt;19&lt;/item&gt;&lt;item&gt;20&lt;/item&gt;&lt;/record-ids&gt;&lt;/item&gt;&lt;/Libraries&gt;"/>
  </w:docVars>
  <w:rsids>
    <w:rsidRoot w:val="008E01E4"/>
    <w:rsid w:val="00021F9C"/>
    <w:rsid w:val="0003058C"/>
    <w:rsid w:val="00034807"/>
    <w:rsid w:val="0003716E"/>
    <w:rsid w:val="000607F4"/>
    <w:rsid w:val="00064C6E"/>
    <w:rsid w:val="000663B9"/>
    <w:rsid w:val="000813AB"/>
    <w:rsid w:val="000A0167"/>
    <w:rsid w:val="000A2885"/>
    <w:rsid w:val="000B66C7"/>
    <w:rsid w:val="00133C12"/>
    <w:rsid w:val="00157613"/>
    <w:rsid w:val="00174E9F"/>
    <w:rsid w:val="001777D4"/>
    <w:rsid w:val="00183BF6"/>
    <w:rsid w:val="001A2FAD"/>
    <w:rsid w:val="001B3990"/>
    <w:rsid w:val="001D010F"/>
    <w:rsid w:val="001E6452"/>
    <w:rsid w:val="002008E7"/>
    <w:rsid w:val="00224C0C"/>
    <w:rsid w:val="002329B1"/>
    <w:rsid w:val="00245B7D"/>
    <w:rsid w:val="0026057C"/>
    <w:rsid w:val="00264030"/>
    <w:rsid w:val="00276C1B"/>
    <w:rsid w:val="00290F9E"/>
    <w:rsid w:val="002A6075"/>
    <w:rsid w:val="00301823"/>
    <w:rsid w:val="0030271E"/>
    <w:rsid w:val="00307D97"/>
    <w:rsid w:val="00313F04"/>
    <w:rsid w:val="00326F81"/>
    <w:rsid w:val="0033631A"/>
    <w:rsid w:val="0034463E"/>
    <w:rsid w:val="0037125E"/>
    <w:rsid w:val="003A2138"/>
    <w:rsid w:val="003C1BDD"/>
    <w:rsid w:val="00405184"/>
    <w:rsid w:val="00417A53"/>
    <w:rsid w:val="00417A98"/>
    <w:rsid w:val="00422D6D"/>
    <w:rsid w:val="004571A6"/>
    <w:rsid w:val="00457AE0"/>
    <w:rsid w:val="00466EF8"/>
    <w:rsid w:val="00480272"/>
    <w:rsid w:val="004B5E6E"/>
    <w:rsid w:val="004C5239"/>
    <w:rsid w:val="004C7433"/>
    <w:rsid w:val="004E038E"/>
    <w:rsid w:val="004E723F"/>
    <w:rsid w:val="004F26F9"/>
    <w:rsid w:val="00513B95"/>
    <w:rsid w:val="0053449C"/>
    <w:rsid w:val="00546FD0"/>
    <w:rsid w:val="00576820"/>
    <w:rsid w:val="0058633F"/>
    <w:rsid w:val="005B06E3"/>
    <w:rsid w:val="005B2109"/>
    <w:rsid w:val="005C3F7E"/>
    <w:rsid w:val="005F5421"/>
    <w:rsid w:val="006112E4"/>
    <w:rsid w:val="0061338F"/>
    <w:rsid w:val="006547E2"/>
    <w:rsid w:val="0066370C"/>
    <w:rsid w:val="006C0A2B"/>
    <w:rsid w:val="006C0C0D"/>
    <w:rsid w:val="006C4BBB"/>
    <w:rsid w:val="006F5006"/>
    <w:rsid w:val="00741562"/>
    <w:rsid w:val="00745B23"/>
    <w:rsid w:val="00747977"/>
    <w:rsid w:val="00750F44"/>
    <w:rsid w:val="00762352"/>
    <w:rsid w:val="00774689"/>
    <w:rsid w:val="007A5F76"/>
    <w:rsid w:val="007B4280"/>
    <w:rsid w:val="008034BF"/>
    <w:rsid w:val="00815C20"/>
    <w:rsid w:val="00836107"/>
    <w:rsid w:val="0085041B"/>
    <w:rsid w:val="00855169"/>
    <w:rsid w:val="00880CFE"/>
    <w:rsid w:val="008B16F7"/>
    <w:rsid w:val="008E01E4"/>
    <w:rsid w:val="008F114E"/>
    <w:rsid w:val="00900796"/>
    <w:rsid w:val="00913904"/>
    <w:rsid w:val="00915909"/>
    <w:rsid w:val="0091665A"/>
    <w:rsid w:val="00923761"/>
    <w:rsid w:val="009773C4"/>
    <w:rsid w:val="0098404B"/>
    <w:rsid w:val="009906E4"/>
    <w:rsid w:val="00995769"/>
    <w:rsid w:val="009A577A"/>
    <w:rsid w:val="009B0311"/>
    <w:rsid w:val="009B7823"/>
    <w:rsid w:val="009B7A3A"/>
    <w:rsid w:val="009C4C9D"/>
    <w:rsid w:val="009E60AE"/>
    <w:rsid w:val="009F1035"/>
    <w:rsid w:val="00A06315"/>
    <w:rsid w:val="00A10B26"/>
    <w:rsid w:val="00A41E55"/>
    <w:rsid w:val="00A525A6"/>
    <w:rsid w:val="00A56608"/>
    <w:rsid w:val="00A5740F"/>
    <w:rsid w:val="00A61ADD"/>
    <w:rsid w:val="00AA471D"/>
    <w:rsid w:val="00AC2699"/>
    <w:rsid w:val="00AC42CA"/>
    <w:rsid w:val="00B0181F"/>
    <w:rsid w:val="00B01947"/>
    <w:rsid w:val="00B75DEB"/>
    <w:rsid w:val="00B908EC"/>
    <w:rsid w:val="00BC43F3"/>
    <w:rsid w:val="00BC4427"/>
    <w:rsid w:val="00BC5B03"/>
    <w:rsid w:val="00BD2471"/>
    <w:rsid w:val="00BE0947"/>
    <w:rsid w:val="00BF17C3"/>
    <w:rsid w:val="00C31B29"/>
    <w:rsid w:val="00C5391D"/>
    <w:rsid w:val="00C61437"/>
    <w:rsid w:val="00C701D8"/>
    <w:rsid w:val="00C74C4C"/>
    <w:rsid w:val="00CA6728"/>
    <w:rsid w:val="00CB0A9E"/>
    <w:rsid w:val="00CB4D3E"/>
    <w:rsid w:val="00CD427B"/>
    <w:rsid w:val="00D45640"/>
    <w:rsid w:val="00D46606"/>
    <w:rsid w:val="00D8477A"/>
    <w:rsid w:val="00D94ED4"/>
    <w:rsid w:val="00DC4851"/>
    <w:rsid w:val="00DF2213"/>
    <w:rsid w:val="00E06418"/>
    <w:rsid w:val="00E06ED4"/>
    <w:rsid w:val="00E463C3"/>
    <w:rsid w:val="00E5105F"/>
    <w:rsid w:val="00E92CF1"/>
    <w:rsid w:val="00EB632C"/>
    <w:rsid w:val="00ED1796"/>
    <w:rsid w:val="00EE4BC6"/>
    <w:rsid w:val="00F017D6"/>
    <w:rsid w:val="00F27B21"/>
    <w:rsid w:val="00F74AD9"/>
    <w:rsid w:val="00FD2155"/>
    <w:rsid w:val="00FE2BAB"/>
    <w:rsid w:val="00FF0686"/>
    <w:rsid w:val="00FF5B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6375FD"/>
  <w15:chartTrackingRefBased/>
  <w15:docId w15:val="{83424171-4164-4A18-A937-F7B50863C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91D"/>
    <w:pPr>
      <w:spacing w:after="160" w:line="278" w:lineRule="auto"/>
    </w:pPr>
    <w:rPr>
      <w:rFonts w:eastAsiaTheme="minorEastAsia"/>
      <w:sz w:val="24"/>
      <w:szCs w:val="24"/>
      <w:lang w:eastAsia="zh-CN"/>
    </w:rPr>
  </w:style>
  <w:style w:type="paragraph" w:styleId="Heading1">
    <w:name w:val="heading 1"/>
    <w:basedOn w:val="Normal"/>
    <w:next w:val="Normal"/>
    <w:link w:val="Heading1Char"/>
    <w:uiPriority w:val="9"/>
    <w:qFormat/>
    <w:rsid w:val="00C5391D"/>
    <w:pPr>
      <w:keepNext/>
      <w:keepLines/>
      <w:numPr>
        <w:numId w:val="1"/>
      </w:numPr>
      <w:spacing w:before="360" w:after="80"/>
      <w:outlineLvl w:val="0"/>
    </w:pPr>
    <w:rPr>
      <w:rFonts w:ascii="Times New Roman" w:eastAsiaTheme="majorEastAsia" w:hAnsi="Times New Roman" w:cstheme="majorBidi"/>
      <w:b/>
      <w:sz w:val="28"/>
      <w:szCs w:val="40"/>
    </w:rPr>
  </w:style>
  <w:style w:type="paragraph" w:styleId="Heading2">
    <w:name w:val="heading 2"/>
    <w:basedOn w:val="Normal"/>
    <w:next w:val="Normal"/>
    <w:link w:val="Heading2Char"/>
    <w:uiPriority w:val="9"/>
    <w:unhideWhenUsed/>
    <w:qFormat/>
    <w:rsid w:val="00C5391D"/>
    <w:pPr>
      <w:keepNext/>
      <w:keepLines/>
      <w:numPr>
        <w:numId w:val="2"/>
      </w:numPr>
      <w:spacing w:before="160" w:after="80"/>
      <w:outlineLvl w:val="1"/>
    </w:pPr>
    <w:rPr>
      <w:rFonts w:ascii="Times New Roman" w:eastAsiaTheme="majorEastAsia" w:hAnsi="Times New Roman" w:cstheme="majorBidi"/>
      <w:b/>
      <w:szCs w:val="32"/>
    </w:rPr>
  </w:style>
  <w:style w:type="paragraph" w:styleId="Heading3">
    <w:name w:val="heading 3"/>
    <w:basedOn w:val="Normal"/>
    <w:next w:val="Normal"/>
    <w:link w:val="Heading3Char"/>
    <w:uiPriority w:val="9"/>
    <w:unhideWhenUsed/>
    <w:qFormat/>
    <w:rsid w:val="00C5391D"/>
    <w:pPr>
      <w:keepNext/>
      <w:keepLines/>
      <w:numPr>
        <w:numId w:val="3"/>
      </w:numPr>
      <w:spacing w:before="160" w:after="80"/>
      <w:outlineLvl w:val="2"/>
    </w:pPr>
    <w:rPr>
      <w:rFonts w:ascii="Times New Roman" w:eastAsiaTheme="majorEastAsia" w:hAnsi="Times New Roman" w:cstheme="majorBidi"/>
      <w:b/>
      <w:i/>
      <w:szCs w:val="28"/>
    </w:rPr>
  </w:style>
  <w:style w:type="paragraph" w:styleId="Heading4">
    <w:name w:val="heading 4"/>
    <w:basedOn w:val="Normal"/>
    <w:next w:val="Normal"/>
    <w:link w:val="Heading4Char"/>
    <w:uiPriority w:val="9"/>
    <w:unhideWhenUsed/>
    <w:qFormat/>
    <w:rsid w:val="00A06315"/>
    <w:pPr>
      <w:keepNext/>
      <w:keepLines/>
      <w:numPr>
        <w:numId w:val="10"/>
      </w:numPr>
      <w:spacing w:before="80" w:after="40"/>
      <w:outlineLvl w:val="3"/>
    </w:pPr>
    <w:rPr>
      <w:rFonts w:ascii="Times New Roman" w:eastAsiaTheme="majorEastAsia" w:hAnsi="Times New Roman" w:cstheme="majorBidi"/>
      <w:b/>
      <w:i/>
      <w:iCs/>
    </w:rPr>
  </w:style>
  <w:style w:type="paragraph" w:styleId="Heading5">
    <w:name w:val="heading 5"/>
    <w:basedOn w:val="Normal"/>
    <w:next w:val="Normal"/>
    <w:link w:val="Heading5Char"/>
    <w:uiPriority w:val="9"/>
    <w:semiHidden/>
    <w:unhideWhenUsed/>
    <w:qFormat/>
    <w:rsid w:val="00C5391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539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39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39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39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91D"/>
    <w:rPr>
      <w:rFonts w:ascii="Times New Roman" w:eastAsiaTheme="majorEastAsia" w:hAnsi="Times New Roman" w:cstheme="majorBidi"/>
      <w:b/>
      <w:sz w:val="28"/>
      <w:szCs w:val="40"/>
      <w:lang w:eastAsia="zh-CN"/>
    </w:rPr>
  </w:style>
  <w:style w:type="character" w:customStyle="1" w:styleId="Heading2Char">
    <w:name w:val="Heading 2 Char"/>
    <w:basedOn w:val="DefaultParagraphFont"/>
    <w:link w:val="Heading2"/>
    <w:uiPriority w:val="9"/>
    <w:rsid w:val="00C5391D"/>
    <w:rPr>
      <w:rFonts w:ascii="Times New Roman" w:eastAsiaTheme="majorEastAsia" w:hAnsi="Times New Roman" w:cstheme="majorBidi"/>
      <w:b/>
      <w:sz w:val="24"/>
      <w:szCs w:val="32"/>
      <w:lang w:eastAsia="zh-CN"/>
    </w:rPr>
  </w:style>
  <w:style w:type="character" w:customStyle="1" w:styleId="Heading3Char">
    <w:name w:val="Heading 3 Char"/>
    <w:basedOn w:val="DefaultParagraphFont"/>
    <w:link w:val="Heading3"/>
    <w:uiPriority w:val="9"/>
    <w:rsid w:val="00C5391D"/>
    <w:rPr>
      <w:rFonts w:ascii="Times New Roman" w:eastAsiaTheme="majorEastAsia" w:hAnsi="Times New Roman" w:cstheme="majorBidi"/>
      <w:b/>
      <w:i/>
      <w:sz w:val="24"/>
      <w:szCs w:val="28"/>
      <w:lang w:eastAsia="zh-CN"/>
    </w:rPr>
  </w:style>
  <w:style w:type="character" w:customStyle="1" w:styleId="Heading4Char">
    <w:name w:val="Heading 4 Char"/>
    <w:basedOn w:val="DefaultParagraphFont"/>
    <w:link w:val="Heading4"/>
    <w:uiPriority w:val="9"/>
    <w:rsid w:val="00A06315"/>
    <w:rPr>
      <w:rFonts w:ascii="Times New Roman" w:eastAsiaTheme="majorEastAsia" w:hAnsi="Times New Roman" w:cstheme="majorBidi"/>
      <w:b/>
      <w:i/>
      <w:iCs/>
      <w:sz w:val="24"/>
      <w:szCs w:val="24"/>
      <w:lang w:eastAsia="zh-CN"/>
    </w:rPr>
  </w:style>
  <w:style w:type="character" w:customStyle="1" w:styleId="Heading5Char">
    <w:name w:val="Heading 5 Char"/>
    <w:basedOn w:val="DefaultParagraphFont"/>
    <w:link w:val="Heading5"/>
    <w:uiPriority w:val="9"/>
    <w:semiHidden/>
    <w:rsid w:val="00C5391D"/>
    <w:rPr>
      <w:rFonts w:eastAsiaTheme="majorEastAsia" w:cstheme="majorBidi"/>
      <w:color w:val="365F91" w:themeColor="accent1" w:themeShade="BF"/>
      <w:sz w:val="24"/>
      <w:szCs w:val="24"/>
      <w:lang w:eastAsia="zh-CN"/>
    </w:rPr>
  </w:style>
  <w:style w:type="character" w:customStyle="1" w:styleId="Heading6Char">
    <w:name w:val="Heading 6 Char"/>
    <w:basedOn w:val="DefaultParagraphFont"/>
    <w:link w:val="Heading6"/>
    <w:uiPriority w:val="9"/>
    <w:semiHidden/>
    <w:rsid w:val="00C5391D"/>
    <w:rPr>
      <w:rFonts w:eastAsiaTheme="majorEastAsia" w:cstheme="majorBidi"/>
      <w:i/>
      <w:iCs/>
      <w:color w:val="595959" w:themeColor="text1" w:themeTint="A6"/>
      <w:sz w:val="24"/>
      <w:szCs w:val="24"/>
      <w:lang w:eastAsia="zh-CN"/>
    </w:rPr>
  </w:style>
  <w:style w:type="character" w:customStyle="1" w:styleId="Heading7Char">
    <w:name w:val="Heading 7 Char"/>
    <w:basedOn w:val="DefaultParagraphFont"/>
    <w:link w:val="Heading7"/>
    <w:uiPriority w:val="9"/>
    <w:semiHidden/>
    <w:rsid w:val="00C5391D"/>
    <w:rPr>
      <w:rFonts w:eastAsiaTheme="majorEastAsia" w:cstheme="majorBidi"/>
      <w:color w:val="595959" w:themeColor="text1" w:themeTint="A6"/>
      <w:sz w:val="24"/>
      <w:szCs w:val="24"/>
      <w:lang w:eastAsia="zh-CN"/>
    </w:rPr>
  </w:style>
  <w:style w:type="character" w:customStyle="1" w:styleId="Heading8Char">
    <w:name w:val="Heading 8 Char"/>
    <w:basedOn w:val="DefaultParagraphFont"/>
    <w:link w:val="Heading8"/>
    <w:uiPriority w:val="9"/>
    <w:semiHidden/>
    <w:rsid w:val="00C5391D"/>
    <w:rPr>
      <w:rFonts w:eastAsiaTheme="majorEastAsia" w:cstheme="majorBidi"/>
      <w:i/>
      <w:iCs/>
      <w:color w:val="272727" w:themeColor="text1" w:themeTint="D8"/>
      <w:sz w:val="24"/>
      <w:szCs w:val="24"/>
      <w:lang w:eastAsia="zh-CN"/>
    </w:rPr>
  </w:style>
  <w:style w:type="character" w:customStyle="1" w:styleId="Heading9Char">
    <w:name w:val="Heading 9 Char"/>
    <w:basedOn w:val="DefaultParagraphFont"/>
    <w:link w:val="Heading9"/>
    <w:uiPriority w:val="9"/>
    <w:semiHidden/>
    <w:rsid w:val="00C5391D"/>
    <w:rPr>
      <w:rFonts w:eastAsiaTheme="majorEastAsia" w:cstheme="majorBidi"/>
      <w:color w:val="272727" w:themeColor="text1" w:themeTint="D8"/>
      <w:sz w:val="24"/>
      <w:szCs w:val="24"/>
      <w:lang w:eastAsia="zh-CN"/>
    </w:rPr>
  </w:style>
  <w:style w:type="paragraph" w:styleId="Title">
    <w:name w:val="Title"/>
    <w:basedOn w:val="Normal"/>
    <w:next w:val="Normal"/>
    <w:link w:val="TitleChar"/>
    <w:uiPriority w:val="10"/>
    <w:qFormat/>
    <w:rsid w:val="00C539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91D"/>
    <w:rPr>
      <w:rFonts w:asciiTheme="majorHAnsi" w:eastAsiaTheme="majorEastAsia" w:hAnsiTheme="majorHAnsi" w:cstheme="majorBidi"/>
      <w:spacing w:val="-10"/>
      <w:kern w:val="28"/>
      <w:sz w:val="56"/>
      <w:szCs w:val="56"/>
      <w:lang w:eastAsia="zh-CN"/>
    </w:rPr>
  </w:style>
  <w:style w:type="paragraph" w:styleId="Subtitle">
    <w:name w:val="Subtitle"/>
    <w:basedOn w:val="Normal"/>
    <w:next w:val="Normal"/>
    <w:link w:val="SubtitleChar"/>
    <w:uiPriority w:val="11"/>
    <w:qFormat/>
    <w:rsid w:val="00C539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391D"/>
    <w:rPr>
      <w:rFonts w:eastAsiaTheme="majorEastAsia" w:cstheme="majorBidi"/>
      <w:color w:val="595959" w:themeColor="text1" w:themeTint="A6"/>
      <w:spacing w:val="15"/>
      <w:sz w:val="28"/>
      <w:szCs w:val="28"/>
      <w:lang w:eastAsia="zh-CN"/>
    </w:rPr>
  </w:style>
  <w:style w:type="paragraph" w:styleId="Quote">
    <w:name w:val="Quote"/>
    <w:basedOn w:val="Normal"/>
    <w:next w:val="Normal"/>
    <w:link w:val="QuoteChar"/>
    <w:uiPriority w:val="29"/>
    <w:qFormat/>
    <w:rsid w:val="00C5391D"/>
    <w:pPr>
      <w:spacing w:before="160"/>
      <w:jc w:val="center"/>
    </w:pPr>
    <w:rPr>
      <w:i/>
      <w:iCs/>
      <w:color w:val="404040" w:themeColor="text1" w:themeTint="BF"/>
    </w:rPr>
  </w:style>
  <w:style w:type="character" w:customStyle="1" w:styleId="QuoteChar">
    <w:name w:val="Quote Char"/>
    <w:basedOn w:val="DefaultParagraphFont"/>
    <w:link w:val="Quote"/>
    <w:uiPriority w:val="29"/>
    <w:rsid w:val="00C5391D"/>
    <w:rPr>
      <w:rFonts w:eastAsiaTheme="minorEastAsia"/>
      <w:i/>
      <w:iCs/>
      <w:color w:val="404040" w:themeColor="text1" w:themeTint="BF"/>
      <w:sz w:val="24"/>
      <w:szCs w:val="24"/>
      <w:lang w:eastAsia="zh-CN"/>
    </w:rPr>
  </w:style>
  <w:style w:type="paragraph" w:styleId="ListParagraph">
    <w:name w:val="List Paragraph"/>
    <w:basedOn w:val="Normal"/>
    <w:uiPriority w:val="34"/>
    <w:qFormat/>
    <w:rsid w:val="00C5391D"/>
    <w:pPr>
      <w:ind w:left="720"/>
      <w:contextualSpacing/>
    </w:pPr>
  </w:style>
  <w:style w:type="character" w:styleId="IntenseEmphasis">
    <w:name w:val="Intense Emphasis"/>
    <w:basedOn w:val="DefaultParagraphFont"/>
    <w:uiPriority w:val="21"/>
    <w:qFormat/>
    <w:rsid w:val="00C5391D"/>
    <w:rPr>
      <w:i/>
      <w:iCs/>
      <w:color w:val="365F91" w:themeColor="accent1" w:themeShade="BF"/>
    </w:rPr>
  </w:style>
  <w:style w:type="paragraph" w:styleId="IntenseQuote">
    <w:name w:val="Intense Quote"/>
    <w:basedOn w:val="Normal"/>
    <w:next w:val="Normal"/>
    <w:link w:val="IntenseQuoteChar"/>
    <w:uiPriority w:val="30"/>
    <w:qFormat/>
    <w:rsid w:val="00C5391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5391D"/>
    <w:rPr>
      <w:rFonts w:eastAsiaTheme="minorEastAsia"/>
      <w:i/>
      <w:iCs/>
      <w:color w:val="365F91" w:themeColor="accent1" w:themeShade="BF"/>
      <w:sz w:val="24"/>
      <w:szCs w:val="24"/>
      <w:lang w:eastAsia="zh-CN"/>
    </w:rPr>
  </w:style>
  <w:style w:type="character" w:styleId="IntenseReference">
    <w:name w:val="Intense Reference"/>
    <w:basedOn w:val="DefaultParagraphFont"/>
    <w:uiPriority w:val="32"/>
    <w:qFormat/>
    <w:rsid w:val="00C5391D"/>
    <w:rPr>
      <w:b/>
      <w:bCs/>
      <w:smallCaps/>
      <w:color w:val="365F91" w:themeColor="accent1" w:themeShade="BF"/>
      <w:spacing w:val="5"/>
    </w:rPr>
  </w:style>
  <w:style w:type="character" w:styleId="Hyperlink">
    <w:name w:val="Hyperlink"/>
    <w:basedOn w:val="DefaultParagraphFont"/>
    <w:uiPriority w:val="99"/>
    <w:unhideWhenUsed/>
    <w:rsid w:val="00C5391D"/>
    <w:rPr>
      <w:color w:val="0000FF" w:themeColor="hyperlink"/>
      <w:u w:val="single"/>
    </w:rPr>
  </w:style>
  <w:style w:type="character" w:styleId="FollowedHyperlink">
    <w:name w:val="FollowedHyperlink"/>
    <w:basedOn w:val="DefaultParagraphFont"/>
    <w:uiPriority w:val="99"/>
    <w:semiHidden/>
    <w:unhideWhenUsed/>
    <w:rsid w:val="00C5391D"/>
    <w:rPr>
      <w:color w:val="954F72"/>
      <w:u w:val="single"/>
    </w:rPr>
  </w:style>
  <w:style w:type="character" w:customStyle="1" w:styleId="NormalWebChar">
    <w:name w:val="Normal (Web) Char"/>
    <w:basedOn w:val="DefaultParagraphFont"/>
    <w:link w:val="NormalWeb"/>
    <w:uiPriority w:val="99"/>
    <w:locked/>
    <w:rsid w:val="00C5391D"/>
    <w:rPr>
      <w:rFonts w:ascii="Times New Roman" w:eastAsia="Times New Roman" w:hAnsi="Times New Roman" w:cs="Times New Roman"/>
      <w:kern w:val="0"/>
      <w14:ligatures w14:val="none"/>
    </w:rPr>
  </w:style>
  <w:style w:type="paragraph" w:customStyle="1" w:styleId="msonormal0">
    <w:name w:val="msonormal"/>
    <w:basedOn w:val="Normal"/>
    <w:uiPriority w:val="99"/>
    <w:rsid w:val="00C5391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link w:val="NormalWebChar"/>
    <w:uiPriority w:val="99"/>
    <w:unhideWhenUsed/>
    <w:rsid w:val="00C5391D"/>
    <w:pPr>
      <w:spacing w:before="100" w:beforeAutospacing="1" w:after="100" w:afterAutospacing="1" w:line="240" w:lineRule="auto"/>
    </w:pPr>
    <w:rPr>
      <w:rFonts w:ascii="Times New Roman" w:eastAsia="Times New Roman" w:hAnsi="Times New Roman" w:cs="Times New Roman"/>
      <w:kern w:val="0"/>
      <w:sz w:val="22"/>
      <w:szCs w:val="22"/>
      <w:lang w:eastAsia="en-US"/>
      <w14:ligatures w14:val="none"/>
    </w:rPr>
  </w:style>
  <w:style w:type="paragraph" w:styleId="Header">
    <w:name w:val="header"/>
    <w:basedOn w:val="Normal"/>
    <w:link w:val="HeaderChar"/>
    <w:uiPriority w:val="99"/>
    <w:unhideWhenUsed/>
    <w:rsid w:val="00C5391D"/>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C5391D"/>
    <w:rPr>
      <w:rFonts w:eastAsiaTheme="minorEastAsia"/>
      <w:sz w:val="18"/>
      <w:szCs w:val="18"/>
      <w:lang w:eastAsia="zh-CN"/>
    </w:rPr>
  </w:style>
  <w:style w:type="paragraph" w:styleId="Footer">
    <w:name w:val="footer"/>
    <w:basedOn w:val="Normal"/>
    <w:link w:val="FooterChar"/>
    <w:uiPriority w:val="99"/>
    <w:unhideWhenUsed/>
    <w:rsid w:val="00C5391D"/>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C5391D"/>
    <w:rPr>
      <w:rFonts w:eastAsiaTheme="minorEastAsia"/>
      <w:sz w:val="18"/>
      <w:szCs w:val="18"/>
      <w:lang w:eastAsia="zh-CN"/>
    </w:rPr>
  </w:style>
  <w:style w:type="paragraph" w:styleId="Caption">
    <w:name w:val="caption"/>
    <w:basedOn w:val="Normal"/>
    <w:next w:val="Normal"/>
    <w:uiPriority w:val="35"/>
    <w:unhideWhenUsed/>
    <w:qFormat/>
    <w:rsid w:val="00C5391D"/>
    <w:pPr>
      <w:spacing w:after="200" w:line="240" w:lineRule="auto"/>
    </w:pPr>
    <w:rPr>
      <w:i/>
      <w:iCs/>
      <w:color w:val="1F497D" w:themeColor="text2"/>
      <w:sz w:val="18"/>
      <w:szCs w:val="18"/>
    </w:rPr>
  </w:style>
  <w:style w:type="paragraph" w:styleId="BalloonText">
    <w:name w:val="Balloon Text"/>
    <w:basedOn w:val="Normal"/>
    <w:link w:val="BalloonTextChar"/>
    <w:uiPriority w:val="99"/>
    <w:semiHidden/>
    <w:unhideWhenUsed/>
    <w:rsid w:val="00C5391D"/>
    <w:pPr>
      <w:spacing w:after="0" w:line="240" w:lineRule="auto"/>
    </w:pPr>
    <w:rPr>
      <w:sz w:val="18"/>
      <w:szCs w:val="18"/>
    </w:rPr>
  </w:style>
  <w:style w:type="character" w:customStyle="1" w:styleId="BalloonTextChar">
    <w:name w:val="Balloon Text Char"/>
    <w:basedOn w:val="DefaultParagraphFont"/>
    <w:link w:val="BalloonText"/>
    <w:uiPriority w:val="99"/>
    <w:semiHidden/>
    <w:rsid w:val="00C5391D"/>
    <w:rPr>
      <w:rFonts w:eastAsiaTheme="minorEastAsia"/>
      <w:sz w:val="18"/>
      <w:szCs w:val="18"/>
      <w:lang w:eastAsia="zh-CN"/>
    </w:rPr>
  </w:style>
  <w:style w:type="paragraph" w:customStyle="1" w:styleId="font5">
    <w:name w:val="font5"/>
    <w:basedOn w:val="Normal"/>
    <w:uiPriority w:val="99"/>
    <w:rsid w:val="00C5391D"/>
    <w:pP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font6">
    <w:name w:val="font6"/>
    <w:basedOn w:val="Normal"/>
    <w:uiPriority w:val="99"/>
    <w:rsid w:val="00C5391D"/>
    <w:pPr>
      <w:spacing w:before="100" w:beforeAutospacing="1" w:after="100" w:afterAutospacing="1" w:line="240" w:lineRule="auto"/>
    </w:pPr>
    <w:rPr>
      <w:rFonts w:ascii="Times New Roman" w:eastAsia="Times New Roman" w:hAnsi="Times New Roman" w:cs="Times New Roman"/>
      <w:b/>
      <w:bCs/>
      <w:color w:val="000000"/>
      <w:kern w:val="0"/>
      <w14:ligatures w14:val="none"/>
    </w:rPr>
  </w:style>
  <w:style w:type="paragraph" w:customStyle="1" w:styleId="font7">
    <w:name w:val="font7"/>
    <w:basedOn w:val="Normal"/>
    <w:uiPriority w:val="99"/>
    <w:rsid w:val="00C5391D"/>
    <w:pPr>
      <w:spacing w:before="100" w:beforeAutospacing="1" w:after="100" w:afterAutospacing="1" w:line="240" w:lineRule="auto"/>
    </w:pPr>
    <w:rPr>
      <w:rFonts w:ascii="Times New Roman" w:eastAsia="Times New Roman" w:hAnsi="Times New Roman" w:cs="Times New Roman"/>
      <w:b/>
      <w:bCs/>
      <w:color w:val="000000"/>
      <w:kern w:val="0"/>
      <w:sz w:val="14"/>
      <w:szCs w:val="14"/>
      <w14:ligatures w14:val="none"/>
    </w:rPr>
  </w:style>
  <w:style w:type="paragraph" w:customStyle="1" w:styleId="xl65">
    <w:name w:val="xl65"/>
    <w:basedOn w:val="Normal"/>
    <w:uiPriority w:val="99"/>
    <w:rsid w:val="00C539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Normal"/>
    <w:uiPriority w:val="99"/>
    <w:rsid w:val="00C5391D"/>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7">
    <w:name w:val="xl67"/>
    <w:basedOn w:val="Normal"/>
    <w:uiPriority w:val="99"/>
    <w:rsid w:val="00C5391D"/>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Normal"/>
    <w:uiPriority w:val="99"/>
    <w:rsid w:val="00C5391D"/>
    <w:pPr>
      <w:pBdr>
        <w:top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9">
    <w:name w:val="xl69"/>
    <w:basedOn w:val="Normal"/>
    <w:uiPriority w:val="99"/>
    <w:rsid w:val="00C5391D"/>
    <w:pP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70">
    <w:name w:val="xl70"/>
    <w:basedOn w:val="Normal"/>
    <w:uiPriority w:val="99"/>
    <w:rsid w:val="00C5391D"/>
    <w:pPr>
      <w:pBdr>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kern w:val="0"/>
      <w14:ligatures w14:val="none"/>
    </w:rPr>
  </w:style>
  <w:style w:type="paragraph" w:customStyle="1" w:styleId="xl71">
    <w:name w:val="xl71"/>
    <w:basedOn w:val="Normal"/>
    <w:uiPriority w:val="99"/>
    <w:rsid w:val="00C539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kern w:val="0"/>
      <w14:ligatures w14:val="none"/>
    </w:rPr>
  </w:style>
  <w:style w:type="paragraph" w:customStyle="1" w:styleId="xl72">
    <w:name w:val="xl72"/>
    <w:basedOn w:val="Normal"/>
    <w:uiPriority w:val="99"/>
    <w:rsid w:val="00C539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3">
    <w:name w:val="xl73"/>
    <w:basedOn w:val="Normal"/>
    <w:uiPriority w:val="99"/>
    <w:rsid w:val="00C539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FF0000"/>
      <w:kern w:val="0"/>
      <w14:ligatures w14:val="none"/>
    </w:rPr>
  </w:style>
  <w:style w:type="paragraph" w:customStyle="1" w:styleId="xl74">
    <w:name w:val="xl74"/>
    <w:basedOn w:val="Normal"/>
    <w:uiPriority w:val="99"/>
    <w:rsid w:val="00C5391D"/>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5">
    <w:name w:val="xl75"/>
    <w:basedOn w:val="Normal"/>
    <w:uiPriority w:val="99"/>
    <w:rsid w:val="00C539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76">
    <w:name w:val="xl76"/>
    <w:basedOn w:val="Normal"/>
    <w:uiPriority w:val="99"/>
    <w:rsid w:val="00C5391D"/>
    <w:pPr>
      <w:pBdr>
        <w:top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7">
    <w:name w:val="xl77"/>
    <w:basedOn w:val="Normal"/>
    <w:uiPriority w:val="99"/>
    <w:rsid w:val="00C5391D"/>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8">
    <w:name w:val="xl78"/>
    <w:basedOn w:val="Normal"/>
    <w:uiPriority w:val="99"/>
    <w:rsid w:val="00C5391D"/>
    <w:pPr>
      <w:pBdr>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Normal"/>
    <w:uiPriority w:val="99"/>
    <w:rsid w:val="00C5391D"/>
    <w:pP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80">
    <w:name w:val="xl80"/>
    <w:basedOn w:val="Normal"/>
    <w:uiPriority w:val="99"/>
    <w:rsid w:val="00C5391D"/>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81">
    <w:name w:val="xl81"/>
    <w:basedOn w:val="Normal"/>
    <w:uiPriority w:val="99"/>
    <w:rsid w:val="00C5391D"/>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82">
    <w:name w:val="xl82"/>
    <w:basedOn w:val="Normal"/>
    <w:uiPriority w:val="99"/>
    <w:rsid w:val="00C5391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3">
    <w:name w:val="xl83"/>
    <w:basedOn w:val="Normal"/>
    <w:uiPriority w:val="99"/>
    <w:rsid w:val="00C5391D"/>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84">
    <w:name w:val="xl84"/>
    <w:basedOn w:val="Normal"/>
    <w:uiPriority w:val="99"/>
    <w:rsid w:val="00C5391D"/>
    <w:pP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85">
    <w:name w:val="xl85"/>
    <w:basedOn w:val="Normal"/>
    <w:uiPriority w:val="99"/>
    <w:rsid w:val="00C5391D"/>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86">
    <w:name w:val="xl86"/>
    <w:basedOn w:val="Normal"/>
    <w:uiPriority w:val="99"/>
    <w:rsid w:val="00C5391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87">
    <w:name w:val="xl87"/>
    <w:basedOn w:val="Normal"/>
    <w:uiPriority w:val="99"/>
    <w:rsid w:val="00C5391D"/>
    <w:pPr>
      <w:pBdr>
        <w:bottom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8">
    <w:name w:val="xl88"/>
    <w:basedOn w:val="Normal"/>
    <w:uiPriority w:val="99"/>
    <w:rsid w:val="00C5391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89">
    <w:name w:val="xl89"/>
    <w:basedOn w:val="Normal"/>
    <w:uiPriority w:val="99"/>
    <w:rsid w:val="00C5391D"/>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kern w:val="0"/>
      <w14:ligatures w14:val="none"/>
    </w:rPr>
  </w:style>
  <w:style w:type="character" w:customStyle="1" w:styleId="EndNoteBibliographyTitleChar">
    <w:name w:val="EndNote Bibliography Title Char"/>
    <w:basedOn w:val="NormalWebChar"/>
    <w:link w:val="EndNoteBibliographyTitle"/>
    <w:locked/>
    <w:rsid w:val="00C5391D"/>
    <w:rPr>
      <w:rFonts w:ascii="Times New Roman" w:eastAsia="Times New Roman" w:hAnsi="Times New Roman" w:cs="Times New Roman"/>
      <w:noProof/>
      <w:kern w:val="0"/>
      <w14:ligatures w14:val="none"/>
    </w:rPr>
  </w:style>
  <w:style w:type="paragraph" w:customStyle="1" w:styleId="EndNoteBibliographyTitle">
    <w:name w:val="EndNote Bibliography Title"/>
    <w:basedOn w:val="Normal"/>
    <w:link w:val="EndNoteBibliographyTitleChar"/>
    <w:rsid w:val="00C5391D"/>
    <w:pPr>
      <w:spacing w:after="0" w:line="256" w:lineRule="auto"/>
      <w:jc w:val="center"/>
    </w:pPr>
    <w:rPr>
      <w:rFonts w:ascii="Times New Roman" w:eastAsiaTheme="minorHAnsi" w:hAnsi="Times New Roman" w:cs="Times New Roman"/>
      <w:noProof/>
      <w:kern w:val="0"/>
      <w:sz w:val="22"/>
      <w:szCs w:val="22"/>
      <w:lang w:eastAsia="en-US"/>
      <w14:ligatures w14:val="none"/>
    </w:rPr>
  </w:style>
  <w:style w:type="character" w:customStyle="1" w:styleId="EndNoteBibliographyChar">
    <w:name w:val="EndNote Bibliography Char"/>
    <w:basedOn w:val="NormalWebChar"/>
    <w:link w:val="EndNoteBibliography"/>
    <w:locked/>
    <w:rsid w:val="00C5391D"/>
    <w:rPr>
      <w:rFonts w:ascii="Times New Roman" w:eastAsia="Times New Roman" w:hAnsi="Times New Roman" w:cs="Times New Roman"/>
      <w:noProof/>
      <w:kern w:val="0"/>
      <w14:ligatures w14:val="none"/>
    </w:rPr>
  </w:style>
  <w:style w:type="paragraph" w:customStyle="1" w:styleId="EndNoteBibliography">
    <w:name w:val="EndNote Bibliography"/>
    <w:basedOn w:val="Normal"/>
    <w:link w:val="EndNoteBibliographyChar"/>
    <w:rsid w:val="00C5391D"/>
    <w:pPr>
      <w:spacing w:line="240" w:lineRule="auto"/>
      <w:jc w:val="both"/>
    </w:pPr>
    <w:rPr>
      <w:rFonts w:ascii="Times New Roman" w:eastAsiaTheme="minorHAnsi" w:hAnsi="Times New Roman" w:cs="Times New Roman"/>
      <w:noProof/>
      <w:kern w:val="0"/>
      <w:sz w:val="22"/>
      <w:szCs w:val="22"/>
      <w:lang w:eastAsia="en-US"/>
      <w14:ligatures w14:val="none"/>
    </w:rPr>
  </w:style>
  <w:style w:type="character" w:customStyle="1" w:styleId="EndNoteCategoryHeadingChar">
    <w:name w:val="EndNote Category Heading Char"/>
    <w:basedOn w:val="DefaultParagraphFont"/>
    <w:link w:val="EndNoteCategoryHeading"/>
    <w:locked/>
    <w:rsid w:val="00C5391D"/>
  </w:style>
  <w:style w:type="paragraph" w:customStyle="1" w:styleId="EndNoteCategoryHeading">
    <w:name w:val="EndNote Category Heading"/>
    <w:basedOn w:val="Normal"/>
    <w:link w:val="EndNoteCategoryHeadingChar"/>
    <w:rsid w:val="00C5391D"/>
    <w:pPr>
      <w:spacing w:before="120" w:after="120" w:line="256" w:lineRule="auto"/>
    </w:pPr>
    <w:rPr>
      <w:rFonts w:eastAsiaTheme="minorHAnsi"/>
      <w:sz w:val="22"/>
      <w:szCs w:val="22"/>
      <w:lang w:eastAsia="en-US"/>
    </w:rPr>
  </w:style>
  <w:style w:type="character" w:customStyle="1" w:styleId="EndNoteCategoryTitleChar">
    <w:name w:val="EndNote Category Title Char"/>
    <w:basedOn w:val="DefaultParagraphFont"/>
    <w:link w:val="EndNoteCategoryTitle"/>
    <w:locked/>
    <w:rsid w:val="00C5391D"/>
  </w:style>
  <w:style w:type="paragraph" w:customStyle="1" w:styleId="EndNoteCategoryTitle">
    <w:name w:val="EndNote Category Title"/>
    <w:basedOn w:val="Normal"/>
    <w:link w:val="EndNoteCategoryTitleChar"/>
    <w:rsid w:val="00C5391D"/>
    <w:pPr>
      <w:spacing w:before="120" w:after="120" w:line="256" w:lineRule="auto"/>
      <w:jc w:val="center"/>
    </w:pPr>
    <w:rPr>
      <w:rFonts w:eastAsiaTheme="minorHAnsi"/>
      <w:sz w:val="22"/>
      <w:szCs w:val="22"/>
      <w:lang w:eastAsia="en-US"/>
    </w:rPr>
  </w:style>
  <w:style w:type="paragraph" w:customStyle="1" w:styleId="01ArticleType">
    <w:name w:val="01_ArticleType"/>
    <w:basedOn w:val="Normal"/>
    <w:uiPriority w:val="99"/>
    <w:qFormat/>
    <w:rsid w:val="00C5391D"/>
    <w:pPr>
      <w:widowControl w:val="0"/>
      <w:adjustRightInd w:val="0"/>
      <w:snapToGrid w:val="0"/>
      <w:spacing w:before="320" w:after="40" w:line="264" w:lineRule="auto"/>
    </w:pPr>
    <w:rPr>
      <w:rFonts w:ascii="Times New Roman" w:eastAsia="Times New Roman" w:hAnsi="Times New Roman"/>
      <w:sz w:val="21"/>
      <w:szCs w:val="18"/>
      <w:lang w:val="en-GB"/>
      <w14:ligatures w14:val="none"/>
    </w:rPr>
  </w:style>
  <w:style w:type="paragraph" w:customStyle="1" w:styleId="13Text">
    <w:name w:val="13_Text"/>
    <w:basedOn w:val="Normal"/>
    <w:uiPriority w:val="99"/>
    <w:qFormat/>
    <w:rsid w:val="00C5391D"/>
    <w:pPr>
      <w:widowControl w:val="0"/>
      <w:adjustRightInd w:val="0"/>
      <w:snapToGrid w:val="0"/>
      <w:spacing w:after="0" w:line="264" w:lineRule="auto"/>
      <w:ind w:firstLineChars="100" w:firstLine="100"/>
      <w:jc w:val="both"/>
    </w:pPr>
    <w:rPr>
      <w:rFonts w:ascii="Times New Roman" w:eastAsia="Times New Roman" w:hAnsi="Times New Roman"/>
      <w:sz w:val="20"/>
      <w:szCs w:val="20"/>
      <w14:ligatures w14:val="none"/>
    </w:rPr>
  </w:style>
  <w:style w:type="character" w:styleId="PlaceholderText">
    <w:name w:val="Placeholder Text"/>
    <w:basedOn w:val="DefaultParagraphFont"/>
    <w:uiPriority w:val="99"/>
    <w:semiHidden/>
    <w:rsid w:val="00C5391D"/>
    <w:rPr>
      <w:color w:val="666666"/>
    </w:rPr>
  </w:style>
  <w:style w:type="character" w:customStyle="1" w:styleId="UnresolvedMention1">
    <w:name w:val="Unresolved Mention1"/>
    <w:basedOn w:val="DefaultParagraphFont"/>
    <w:uiPriority w:val="99"/>
    <w:semiHidden/>
    <w:rsid w:val="00C5391D"/>
    <w:rPr>
      <w:color w:val="605E5C"/>
      <w:shd w:val="clear" w:color="auto" w:fill="E1DFDD"/>
    </w:rPr>
  </w:style>
  <w:style w:type="table" w:styleId="TableGrid">
    <w:name w:val="Table Grid"/>
    <w:basedOn w:val="TableNormal"/>
    <w:uiPriority w:val="39"/>
    <w:rsid w:val="00C5391D"/>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C5391D"/>
    <w:rPr>
      <w:b/>
      <w:bCs/>
    </w:rPr>
  </w:style>
  <w:style w:type="character" w:customStyle="1" w:styleId="UnresolvedMention">
    <w:name w:val="Unresolved Mention"/>
    <w:basedOn w:val="DefaultParagraphFont"/>
    <w:uiPriority w:val="99"/>
    <w:semiHidden/>
    <w:unhideWhenUsed/>
    <w:rsid w:val="00C5391D"/>
    <w:rPr>
      <w:color w:val="605E5C"/>
      <w:shd w:val="clear" w:color="auto" w:fill="E1DFDD"/>
    </w:rPr>
  </w:style>
  <w:style w:type="character" w:styleId="LineNumber">
    <w:name w:val="line number"/>
    <w:basedOn w:val="DefaultParagraphFont"/>
    <w:uiPriority w:val="99"/>
    <w:semiHidden/>
    <w:unhideWhenUsed/>
    <w:rsid w:val="00C5391D"/>
  </w:style>
  <w:style w:type="paragraph" w:customStyle="1" w:styleId="isselectedend">
    <w:name w:val="isselectedend"/>
    <w:basedOn w:val="Normal"/>
    <w:rsid w:val="0058633F"/>
    <w:pPr>
      <w:spacing w:before="100" w:beforeAutospacing="1" w:after="100" w:afterAutospacing="1" w:line="240" w:lineRule="auto"/>
    </w:pPr>
    <w:rPr>
      <w:rFonts w:ascii="Times New Roman" w:eastAsia="Times New Roman" w:hAnsi="Times New Roman" w:cs="Times New Roman"/>
      <w:kern w:val="0"/>
      <w:lang w:eastAsia="en-US"/>
      <w14:ligatures w14:val="none"/>
    </w:rPr>
  </w:style>
  <w:style w:type="character" w:customStyle="1" w:styleId="whitespace-normal">
    <w:name w:val="whitespace-normal"/>
    <w:basedOn w:val="DefaultParagraphFont"/>
    <w:rsid w:val="006F50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345094">
      <w:bodyDiv w:val="1"/>
      <w:marLeft w:val="0"/>
      <w:marRight w:val="0"/>
      <w:marTop w:val="0"/>
      <w:marBottom w:val="0"/>
      <w:divBdr>
        <w:top w:val="none" w:sz="0" w:space="0" w:color="auto"/>
        <w:left w:val="none" w:sz="0" w:space="0" w:color="auto"/>
        <w:bottom w:val="none" w:sz="0" w:space="0" w:color="auto"/>
        <w:right w:val="none" w:sz="0" w:space="0" w:color="auto"/>
      </w:divBdr>
    </w:div>
    <w:div w:id="363335368">
      <w:bodyDiv w:val="1"/>
      <w:marLeft w:val="0"/>
      <w:marRight w:val="0"/>
      <w:marTop w:val="0"/>
      <w:marBottom w:val="0"/>
      <w:divBdr>
        <w:top w:val="none" w:sz="0" w:space="0" w:color="auto"/>
        <w:left w:val="none" w:sz="0" w:space="0" w:color="auto"/>
        <w:bottom w:val="none" w:sz="0" w:space="0" w:color="auto"/>
        <w:right w:val="none" w:sz="0" w:space="0" w:color="auto"/>
      </w:divBdr>
    </w:div>
    <w:div w:id="687561685">
      <w:bodyDiv w:val="1"/>
      <w:marLeft w:val="0"/>
      <w:marRight w:val="0"/>
      <w:marTop w:val="0"/>
      <w:marBottom w:val="0"/>
      <w:divBdr>
        <w:top w:val="none" w:sz="0" w:space="0" w:color="auto"/>
        <w:left w:val="none" w:sz="0" w:space="0" w:color="auto"/>
        <w:bottom w:val="none" w:sz="0" w:space="0" w:color="auto"/>
        <w:right w:val="none" w:sz="0" w:space="0" w:color="auto"/>
      </w:divBdr>
    </w:div>
    <w:div w:id="814757154">
      <w:bodyDiv w:val="1"/>
      <w:marLeft w:val="0"/>
      <w:marRight w:val="0"/>
      <w:marTop w:val="0"/>
      <w:marBottom w:val="0"/>
      <w:divBdr>
        <w:top w:val="none" w:sz="0" w:space="0" w:color="auto"/>
        <w:left w:val="none" w:sz="0" w:space="0" w:color="auto"/>
        <w:bottom w:val="none" w:sz="0" w:space="0" w:color="auto"/>
        <w:right w:val="none" w:sz="0" w:space="0" w:color="auto"/>
      </w:divBdr>
      <w:divsChild>
        <w:div w:id="852184160">
          <w:marLeft w:val="0"/>
          <w:marRight w:val="0"/>
          <w:marTop w:val="0"/>
          <w:marBottom w:val="0"/>
          <w:divBdr>
            <w:top w:val="none" w:sz="0" w:space="0" w:color="auto"/>
            <w:left w:val="none" w:sz="0" w:space="0" w:color="auto"/>
            <w:bottom w:val="none" w:sz="0" w:space="0" w:color="auto"/>
            <w:right w:val="none" w:sz="0" w:space="0" w:color="auto"/>
          </w:divBdr>
          <w:divsChild>
            <w:div w:id="806775593">
              <w:marLeft w:val="0"/>
              <w:marRight w:val="0"/>
              <w:marTop w:val="0"/>
              <w:marBottom w:val="0"/>
              <w:divBdr>
                <w:top w:val="none" w:sz="0" w:space="0" w:color="auto"/>
                <w:left w:val="none" w:sz="0" w:space="0" w:color="auto"/>
                <w:bottom w:val="none" w:sz="0" w:space="0" w:color="auto"/>
                <w:right w:val="none" w:sz="0" w:space="0" w:color="auto"/>
              </w:divBdr>
              <w:divsChild>
                <w:div w:id="1981112551">
                  <w:marLeft w:val="0"/>
                  <w:marRight w:val="0"/>
                  <w:marTop w:val="0"/>
                  <w:marBottom w:val="0"/>
                  <w:divBdr>
                    <w:top w:val="none" w:sz="0" w:space="0" w:color="auto"/>
                    <w:left w:val="none" w:sz="0" w:space="0" w:color="auto"/>
                    <w:bottom w:val="none" w:sz="0" w:space="0" w:color="auto"/>
                    <w:right w:val="none" w:sz="0" w:space="0" w:color="auto"/>
                  </w:divBdr>
                  <w:divsChild>
                    <w:div w:id="159656742">
                      <w:marLeft w:val="0"/>
                      <w:marRight w:val="0"/>
                      <w:marTop w:val="0"/>
                      <w:marBottom w:val="0"/>
                      <w:divBdr>
                        <w:top w:val="none" w:sz="0" w:space="0" w:color="auto"/>
                        <w:left w:val="none" w:sz="0" w:space="0" w:color="auto"/>
                        <w:bottom w:val="none" w:sz="0" w:space="0" w:color="auto"/>
                        <w:right w:val="none" w:sz="0" w:space="0" w:color="auto"/>
                      </w:divBdr>
                      <w:divsChild>
                        <w:div w:id="1541433805">
                          <w:marLeft w:val="0"/>
                          <w:marRight w:val="0"/>
                          <w:marTop w:val="0"/>
                          <w:marBottom w:val="0"/>
                          <w:divBdr>
                            <w:top w:val="none" w:sz="0" w:space="0" w:color="auto"/>
                            <w:left w:val="none" w:sz="0" w:space="0" w:color="auto"/>
                            <w:bottom w:val="none" w:sz="0" w:space="0" w:color="auto"/>
                            <w:right w:val="none" w:sz="0" w:space="0" w:color="auto"/>
                          </w:divBdr>
                          <w:divsChild>
                            <w:div w:id="993416087">
                              <w:marLeft w:val="0"/>
                              <w:marRight w:val="0"/>
                              <w:marTop w:val="0"/>
                              <w:marBottom w:val="0"/>
                              <w:divBdr>
                                <w:top w:val="none" w:sz="0" w:space="0" w:color="auto"/>
                                <w:left w:val="none" w:sz="0" w:space="0" w:color="auto"/>
                                <w:bottom w:val="none" w:sz="0" w:space="0" w:color="auto"/>
                                <w:right w:val="none" w:sz="0" w:space="0" w:color="auto"/>
                              </w:divBdr>
                              <w:divsChild>
                                <w:div w:id="902330775">
                                  <w:marLeft w:val="0"/>
                                  <w:marRight w:val="0"/>
                                  <w:marTop w:val="0"/>
                                  <w:marBottom w:val="0"/>
                                  <w:divBdr>
                                    <w:top w:val="none" w:sz="0" w:space="0" w:color="auto"/>
                                    <w:left w:val="none" w:sz="0" w:space="0" w:color="auto"/>
                                    <w:bottom w:val="none" w:sz="0" w:space="0" w:color="auto"/>
                                    <w:right w:val="none" w:sz="0" w:space="0" w:color="auto"/>
                                  </w:divBdr>
                                  <w:divsChild>
                                    <w:div w:id="1118141183">
                                      <w:marLeft w:val="0"/>
                                      <w:marRight w:val="0"/>
                                      <w:marTop w:val="0"/>
                                      <w:marBottom w:val="0"/>
                                      <w:divBdr>
                                        <w:top w:val="none" w:sz="0" w:space="0" w:color="auto"/>
                                        <w:left w:val="none" w:sz="0" w:space="0" w:color="auto"/>
                                        <w:bottom w:val="none" w:sz="0" w:space="0" w:color="auto"/>
                                        <w:right w:val="none" w:sz="0" w:space="0" w:color="auto"/>
                                      </w:divBdr>
                                      <w:divsChild>
                                        <w:div w:id="1550023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8936331">
      <w:bodyDiv w:val="1"/>
      <w:marLeft w:val="0"/>
      <w:marRight w:val="0"/>
      <w:marTop w:val="0"/>
      <w:marBottom w:val="0"/>
      <w:divBdr>
        <w:top w:val="none" w:sz="0" w:space="0" w:color="auto"/>
        <w:left w:val="none" w:sz="0" w:space="0" w:color="auto"/>
        <w:bottom w:val="none" w:sz="0" w:space="0" w:color="auto"/>
        <w:right w:val="none" w:sz="0" w:space="0" w:color="auto"/>
      </w:divBdr>
    </w:div>
    <w:div w:id="899629189">
      <w:bodyDiv w:val="1"/>
      <w:marLeft w:val="0"/>
      <w:marRight w:val="0"/>
      <w:marTop w:val="0"/>
      <w:marBottom w:val="0"/>
      <w:divBdr>
        <w:top w:val="none" w:sz="0" w:space="0" w:color="auto"/>
        <w:left w:val="none" w:sz="0" w:space="0" w:color="auto"/>
        <w:bottom w:val="none" w:sz="0" w:space="0" w:color="auto"/>
        <w:right w:val="none" w:sz="0" w:space="0" w:color="auto"/>
      </w:divBdr>
    </w:div>
    <w:div w:id="923685510">
      <w:bodyDiv w:val="1"/>
      <w:marLeft w:val="0"/>
      <w:marRight w:val="0"/>
      <w:marTop w:val="0"/>
      <w:marBottom w:val="0"/>
      <w:divBdr>
        <w:top w:val="none" w:sz="0" w:space="0" w:color="auto"/>
        <w:left w:val="none" w:sz="0" w:space="0" w:color="auto"/>
        <w:bottom w:val="none" w:sz="0" w:space="0" w:color="auto"/>
        <w:right w:val="none" w:sz="0" w:space="0" w:color="auto"/>
      </w:divBdr>
    </w:div>
    <w:div w:id="986014457">
      <w:bodyDiv w:val="1"/>
      <w:marLeft w:val="0"/>
      <w:marRight w:val="0"/>
      <w:marTop w:val="0"/>
      <w:marBottom w:val="0"/>
      <w:divBdr>
        <w:top w:val="none" w:sz="0" w:space="0" w:color="auto"/>
        <w:left w:val="none" w:sz="0" w:space="0" w:color="auto"/>
        <w:bottom w:val="none" w:sz="0" w:space="0" w:color="auto"/>
        <w:right w:val="none" w:sz="0" w:space="0" w:color="auto"/>
      </w:divBdr>
    </w:div>
    <w:div w:id="1036660148">
      <w:bodyDiv w:val="1"/>
      <w:marLeft w:val="0"/>
      <w:marRight w:val="0"/>
      <w:marTop w:val="0"/>
      <w:marBottom w:val="0"/>
      <w:divBdr>
        <w:top w:val="none" w:sz="0" w:space="0" w:color="auto"/>
        <w:left w:val="none" w:sz="0" w:space="0" w:color="auto"/>
        <w:bottom w:val="none" w:sz="0" w:space="0" w:color="auto"/>
        <w:right w:val="none" w:sz="0" w:space="0" w:color="auto"/>
      </w:divBdr>
    </w:div>
    <w:div w:id="1148671223">
      <w:bodyDiv w:val="1"/>
      <w:marLeft w:val="0"/>
      <w:marRight w:val="0"/>
      <w:marTop w:val="0"/>
      <w:marBottom w:val="0"/>
      <w:divBdr>
        <w:top w:val="none" w:sz="0" w:space="0" w:color="auto"/>
        <w:left w:val="none" w:sz="0" w:space="0" w:color="auto"/>
        <w:bottom w:val="none" w:sz="0" w:space="0" w:color="auto"/>
        <w:right w:val="none" w:sz="0" w:space="0" w:color="auto"/>
      </w:divBdr>
      <w:divsChild>
        <w:div w:id="1815945846">
          <w:marLeft w:val="0"/>
          <w:marRight w:val="0"/>
          <w:marTop w:val="0"/>
          <w:marBottom w:val="0"/>
          <w:divBdr>
            <w:top w:val="none" w:sz="0" w:space="0" w:color="auto"/>
            <w:left w:val="none" w:sz="0" w:space="0" w:color="auto"/>
            <w:bottom w:val="none" w:sz="0" w:space="0" w:color="auto"/>
            <w:right w:val="none" w:sz="0" w:space="0" w:color="auto"/>
          </w:divBdr>
        </w:div>
        <w:div w:id="465860218">
          <w:marLeft w:val="0"/>
          <w:marRight w:val="0"/>
          <w:marTop w:val="0"/>
          <w:marBottom w:val="0"/>
          <w:divBdr>
            <w:top w:val="none" w:sz="0" w:space="0" w:color="auto"/>
            <w:left w:val="none" w:sz="0" w:space="0" w:color="auto"/>
            <w:bottom w:val="none" w:sz="0" w:space="0" w:color="auto"/>
            <w:right w:val="none" w:sz="0" w:space="0" w:color="auto"/>
          </w:divBdr>
        </w:div>
        <w:div w:id="1244997518">
          <w:marLeft w:val="0"/>
          <w:marRight w:val="0"/>
          <w:marTop w:val="0"/>
          <w:marBottom w:val="0"/>
          <w:divBdr>
            <w:top w:val="none" w:sz="0" w:space="0" w:color="auto"/>
            <w:left w:val="none" w:sz="0" w:space="0" w:color="auto"/>
            <w:bottom w:val="none" w:sz="0" w:space="0" w:color="auto"/>
            <w:right w:val="none" w:sz="0" w:space="0" w:color="auto"/>
          </w:divBdr>
        </w:div>
        <w:div w:id="284123974">
          <w:marLeft w:val="0"/>
          <w:marRight w:val="0"/>
          <w:marTop w:val="0"/>
          <w:marBottom w:val="0"/>
          <w:divBdr>
            <w:top w:val="none" w:sz="0" w:space="0" w:color="auto"/>
            <w:left w:val="none" w:sz="0" w:space="0" w:color="auto"/>
            <w:bottom w:val="none" w:sz="0" w:space="0" w:color="auto"/>
            <w:right w:val="none" w:sz="0" w:space="0" w:color="auto"/>
          </w:divBdr>
        </w:div>
        <w:div w:id="565533307">
          <w:marLeft w:val="0"/>
          <w:marRight w:val="0"/>
          <w:marTop w:val="0"/>
          <w:marBottom w:val="0"/>
          <w:divBdr>
            <w:top w:val="none" w:sz="0" w:space="0" w:color="auto"/>
            <w:left w:val="none" w:sz="0" w:space="0" w:color="auto"/>
            <w:bottom w:val="none" w:sz="0" w:space="0" w:color="auto"/>
            <w:right w:val="none" w:sz="0" w:space="0" w:color="auto"/>
          </w:divBdr>
        </w:div>
        <w:div w:id="1442067437">
          <w:marLeft w:val="0"/>
          <w:marRight w:val="0"/>
          <w:marTop w:val="0"/>
          <w:marBottom w:val="0"/>
          <w:divBdr>
            <w:top w:val="none" w:sz="0" w:space="0" w:color="auto"/>
            <w:left w:val="none" w:sz="0" w:space="0" w:color="auto"/>
            <w:bottom w:val="none" w:sz="0" w:space="0" w:color="auto"/>
            <w:right w:val="none" w:sz="0" w:space="0" w:color="auto"/>
          </w:divBdr>
        </w:div>
        <w:div w:id="538399570">
          <w:marLeft w:val="0"/>
          <w:marRight w:val="0"/>
          <w:marTop w:val="0"/>
          <w:marBottom w:val="0"/>
          <w:divBdr>
            <w:top w:val="none" w:sz="0" w:space="0" w:color="auto"/>
            <w:left w:val="none" w:sz="0" w:space="0" w:color="auto"/>
            <w:bottom w:val="none" w:sz="0" w:space="0" w:color="auto"/>
            <w:right w:val="none" w:sz="0" w:space="0" w:color="auto"/>
          </w:divBdr>
        </w:div>
        <w:div w:id="553083232">
          <w:marLeft w:val="0"/>
          <w:marRight w:val="0"/>
          <w:marTop w:val="0"/>
          <w:marBottom w:val="0"/>
          <w:divBdr>
            <w:top w:val="none" w:sz="0" w:space="0" w:color="auto"/>
            <w:left w:val="none" w:sz="0" w:space="0" w:color="auto"/>
            <w:bottom w:val="none" w:sz="0" w:space="0" w:color="auto"/>
            <w:right w:val="none" w:sz="0" w:space="0" w:color="auto"/>
          </w:divBdr>
        </w:div>
      </w:divsChild>
    </w:div>
    <w:div w:id="1246959699">
      <w:bodyDiv w:val="1"/>
      <w:marLeft w:val="0"/>
      <w:marRight w:val="0"/>
      <w:marTop w:val="0"/>
      <w:marBottom w:val="0"/>
      <w:divBdr>
        <w:top w:val="none" w:sz="0" w:space="0" w:color="auto"/>
        <w:left w:val="none" w:sz="0" w:space="0" w:color="auto"/>
        <w:bottom w:val="none" w:sz="0" w:space="0" w:color="auto"/>
        <w:right w:val="none" w:sz="0" w:space="0" w:color="auto"/>
      </w:divBdr>
    </w:div>
    <w:div w:id="1536576660">
      <w:bodyDiv w:val="1"/>
      <w:marLeft w:val="0"/>
      <w:marRight w:val="0"/>
      <w:marTop w:val="0"/>
      <w:marBottom w:val="0"/>
      <w:divBdr>
        <w:top w:val="none" w:sz="0" w:space="0" w:color="auto"/>
        <w:left w:val="none" w:sz="0" w:space="0" w:color="auto"/>
        <w:bottom w:val="none" w:sz="0" w:space="0" w:color="auto"/>
        <w:right w:val="none" w:sz="0" w:space="0" w:color="auto"/>
      </w:divBdr>
      <w:divsChild>
        <w:div w:id="663893558">
          <w:marLeft w:val="0"/>
          <w:marRight w:val="0"/>
          <w:marTop w:val="0"/>
          <w:marBottom w:val="0"/>
          <w:divBdr>
            <w:top w:val="none" w:sz="0" w:space="0" w:color="auto"/>
            <w:left w:val="none" w:sz="0" w:space="0" w:color="auto"/>
            <w:bottom w:val="none" w:sz="0" w:space="0" w:color="auto"/>
            <w:right w:val="none" w:sz="0" w:space="0" w:color="auto"/>
          </w:divBdr>
        </w:div>
      </w:divsChild>
    </w:div>
    <w:div w:id="1946574386">
      <w:bodyDiv w:val="1"/>
      <w:marLeft w:val="0"/>
      <w:marRight w:val="0"/>
      <w:marTop w:val="0"/>
      <w:marBottom w:val="0"/>
      <w:divBdr>
        <w:top w:val="none" w:sz="0" w:space="0" w:color="auto"/>
        <w:left w:val="none" w:sz="0" w:space="0" w:color="auto"/>
        <w:bottom w:val="none" w:sz="0" w:space="0" w:color="auto"/>
        <w:right w:val="none" w:sz="0" w:space="0" w:color="auto"/>
      </w:divBdr>
      <w:divsChild>
        <w:div w:id="230385935">
          <w:marLeft w:val="0"/>
          <w:marRight w:val="0"/>
          <w:marTop w:val="0"/>
          <w:marBottom w:val="0"/>
          <w:divBdr>
            <w:top w:val="none" w:sz="0" w:space="0" w:color="auto"/>
            <w:left w:val="none" w:sz="0" w:space="0" w:color="auto"/>
            <w:bottom w:val="none" w:sz="0" w:space="0" w:color="auto"/>
            <w:right w:val="none" w:sz="0" w:space="0" w:color="auto"/>
          </w:divBdr>
          <w:divsChild>
            <w:div w:id="1970241242">
              <w:marLeft w:val="0"/>
              <w:marRight w:val="0"/>
              <w:marTop w:val="0"/>
              <w:marBottom w:val="0"/>
              <w:divBdr>
                <w:top w:val="none" w:sz="0" w:space="0" w:color="auto"/>
                <w:left w:val="none" w:sz="0" w:space="0" w:color="auto"/>
                <w:bottom w:val="none" w:sz="0" w:space="0" w:color="auto"/>
                <w:right w:val="none" w:sz="0" w:space="0" w:color="auto"/>
              </w:divBdr>
            </w:div>
          </w:divsChild>
        </w:div>
        <w:div w:id="463278344">
          <w:marLeft w:val="0"/>
          <w:marRight w:val="0"/>
          <w:marTop w:val="0"/>
          <w:marBottom w:val="0"/>
          <w:divBdr>
            <w:top w:val="none" w:sz="0" w:space="0" w:color="auto"/>
            <w:left w:val="none" w:sz="0" w:space="0" w:color="auto"/>
            <w:bottom w:val="none" w:sz="0" w:space="0" w:color="auto"/>
            <w:right w:val="none" w:sz="0" w:space="0" w:color="auto"/>
          </w:divBdr>
          <w:divsChild>
            <w:div w:id="1700082942">
              <w:marLeft w:val="0"/>
              <w:marRight w:val="0"/>
              <w:marTop w:val="0"/>
              <w:marBottom w:val="0"/>
              <w:divBdr>
                <w:top w:val="none" w:sz="0" w:space="0" w:color="auto"/>
                <w:left w:val="none" w:sz="0" w:space="0" w:color="auto"/>
                <w:bottom w:val="none" w:sz="0" w:space="0" w:color="auto"/>
                <w:right w:val="none" w:sz="0" w:space="0" w:color="auto"/>
              </w:divBdr>
              <w:divsChild>
                <w:div w:id="1658805931">
                  <w:marLeft w:val="0"/>
                  <w:marRight w:val="0"/>
                  <w:marTop w:val="0"/>
                  <w:marBottom w:val="0"/>
                  <w:divBdr>
                    <w:top w:val="none" w:sz="0" w:space="0" w:color="auto"/>
                    <w:left w:val="none" w:sz="0" w:space="0" w:color="auto"/>
                    <w:bottom w:val="none" w:sz="0" w:space="0" w:color="auto"/>
                    <w:right w:val="none" w:sz="0" w:space="0" w:color="auto"/>
                  </w:divBdr>
                  <w:divsChild>
                    <w:div w:id="1300111595">
                      <w:marLeft w:val="0"/>
                      <w:marRight w:val="0"/>
                      <w:marTop w:val="0"/>
                      <w:marBottom w:val="0"/>
                      <w:divBdr>
                        <w:top w:val="none" w:sz="0" w:space="0" w:color="auto"/>
                        <w:left w:val="none" w:sz="0" w:space="0" w:color="auto"/>
                        <w:bottom w:val="none" w:sz="0" w:space="0" w:color="auto"/>
                        <w:right w:val="none" w:sz="0" w:space="0" w:color="auto"/>
                      </w:divBdr>
                      <w:divsChild>
                        <w:div w:id="1817602931">
                          <w:marLeft w:val="0"/>
                          <w:marRight w:val="0"/>
                          <w:marTop w:val="0"/>
                          <w:marBottom w:val="0"/>
                          <w:divBdr>
                            <w:top w:val="none" w:sz="0" w:space="0" w:color="auto"/>
                            <w:left w:val="none" w:sz="0" w:space="0" w:color="auto"/>
                            <w:bottom w:val="none" w:sz="0" w:space="0" w:color="auto"/>
                            <w:right w:val="none" w:sz="0" w:space="0" w:color="auto"/>
                          </w:divBdr>
                          <w:divsChild>
                            <w:div w:id="1218780238">
                              <w:marLeft w:val="0"/>
                              <w:marRight w:val="0"/>
                              <w:marTop w:val="0"/>
                              <w:marBottom w:val="0"/>
                              <w:divBdr>
                                <w:top w:val="none" w:sz="0" w:space="0" w:color="auto"/>
                                <w:left w:val="none" w:sz="0" w:space="0" w:color="auto"/>
                                <w:bottom w:val="none" w:sz="0" w:space="0" w:color="auto"/>
                                <w:right w:val="none" w:sz="0" w:space="0" w:color="auto"/>
                              </w:divBdr>
                              <w:divsChild>
                                <w:div w:id="941113851">
                                  <w:marLeft w:val="0"/>
                                  <w:marRight w:val="0"/>
                                  <w:marTop w:val="0"/>
                                  <w:marBottom w:val="0"/>
                                  <w:divBdr>
                                    <w:top w:val="none" w:sz="0" w:space="0" w:color="auto"/>
                                    <w:left w:val="none" w:sz="0" w:space="0" w:color="auto"/>
                                    <w:bottom w:val="none" w:sz="0" w:space="0" w:color="auto"/>
                                    <w:right w:val="none" w:sz="0" w:space="0" w:color="auto"/>
                                  </w:divBdr>
                                  <w:divsChild>
                                    <w:div w:id="1765766143">
                                      <w:marLeft w:val="0"/>
                                      <w:marRight w:val="0"/>
                                      <w:marTop w:val="0"/>
                                      <w:marBottom w:val="0"/>
                                      <w:divBdr>
                                        <w:top w:val="none" w:sz="0" w:space="0" w:color="auto"/>
                                        <w:left w:val="none" w:sz="0" w:space="0" w:color="auto"/>
                                        <w:bottom w:val="none" w:sz="0" w:space="0" w:color="auto"/>
                                        <w:right w:val="none" w:sz="0" w:space="0" w:color="auto"/>
                                      </w:divBdr>
                                      <w:divsChild>
                                        <w:div w:id="1076248820">
                                          <w:marLeft w:val="0"/>
                                          <w:marRight w:val="0"/>
                                          <w:marTop w:val="0"/>
                                          <w:marBottom w:val="0"/>
                                          <w:divBdr>
                                            <w:top w:val="none" w:sz="0" w:space="0" w:color="auto"/>
                                            <w:left w:val="none" w:sz="0" w:space="0" w:color="auto"/>
                                            <w:bottom w:val="none" w:sz="0" w:space="0" w:color="auto"/>
                                            <w:right w:val="none" w:sz="0" w:space="0" w:color="auto"/>
                                          </w:divBdr>
                                          <w:divsChild>
                                            <w:div w:id="1449741976">
                                              <w:marLeft w:val="0"/>
                                              <w:marRight w:val="0"/>
                                              <w:marTop w:val="0"/>
                                              <w:marBottom w:val="0"/>
                                              <w:divBdr>
                                                <w:top w:val="none" w:sz="0" w:space="0" w:color="auto"/>
                                                <w:left w:val="none" w:sz="0" w:space="0" w:color="auto"/>
                                                <w:bottom w:val="none" w:sz="0" w:space="0" w:color="auto"/>
                                                <w:right w:val="none" w:sz="0" w:space="0" w:color="auto"/>
                                              </w:divBdr>
                                              <w:divsChild>
                                                <w:div w:id="666444237">
                                                  <w:marLeft w:val="0"/>
                                                  <w:marRight w:val="0"/>
                                                  <w:marTop w:val="0"/>
                                                  <w:marBottom w:val="0"/>
                                                  <w:divBdr>
                                                    <w:top w:val="none" w:sz="0" w:space="0" w:color="auto"/>
                                                    <w:left w:val="none" w:sz="0" w:space="0" w:color="auto"/>
                                                    <w:bottom w:val="none" w:sz="0" w:space="0" w:color="auto"/>
                                                    <w:right w:val="none" w:sz="0" w:space="0" w:color="auto"/>
                                                  </w:divBdr>
                                                  <w:divsChild>
                                                    <w:div w:id="990327796">
                                                      <w:marLeft w:val="0"/>
                                                      <w:marRight w:val="0"/>
                                                      <w:marTop w:val="0"/>
                                                      <w:marBottom w:val="0"/>
                                                      <w:divBdr>
                                                        <w:top w:val="none" w:sz="0" w:space="0" w:color="auto"/>
                                                        <w:left w:val="none" w:sz="0" w:space="0" w:color="auto"/>
                                                        <w:bottom w:val="none" w:sz="0" w:space="0" w:color="auto"/>
                                                        <w:right w:val="none" w:sz="0" w:space="0" w:color="auto"/>
                                                      </w:divBdr>
                                                      <w:divsChild>
                                                        <w:div w:id="739402413">
                                                          <w:marLeft w:val="0"/>
                                                          <w:marRight w:val="0"/>
                                                          <w:marTop w:val="0"/>
                                                          <w:marBottom w:val="0"/>
                                                          <w:divBdr>
                                                            <w:top w:val="none" w:sz="0" w:space="0" w:color="auto"/>
                                                            <w:left w:val="none" w:sz="0" w:space="0" w:color="auto"/>
                                                            <w:bottom w:val="none" w:sz="0" w:space="0" w:color="auto"/>
                                                            <w:right w:val="none" w:sz="0" w:space="0" w:color="auto"/>
                                                          </w:divBdr>
                                                          <w:divsChild>
                                                            <w:div w:id="371661520">
                                                              <w:marLeft w:val="0"/>
                                                              <w:marRight w:val="0"/>
                                                              <w:marTop w:val="0"/>
                                                              <w:marBottom w:val="0"/>
                                                              <w:divBdr>
                                                                <w:top w:val="none" w:sz="0" w:space="0" w:color="auto"/>
                                                                <w:left w:val="none" w:sz="0" w:space="0" w:color="auto"/>
                                                                <w:bottom w:val="none" w:sz="0" w:space="0" w:color="auto"/>
                                                                <w:right w:val="none" w:sz="0" w:space="0" w:color="auto"/>
                                                              </w:divBdr>
                                                              <w:divsChild>
                                                                <w:div w:id="28144692">
                                                                  <w:marLeft w:val="0"/>
                                                                  <w:marRight w:val="0"/>
                                                                  <w:marTop w:val="0"/>
                                                                  <w:marBottom w:val="0"/>
                                                                  <w:divBdr>
                                                                    <w:top w:val="none" w:sz="0" w:space="0" w:color="auto"/>
                                                                    <w:left w:val="none" w:sz="0" w:space="0" w:color="auto"/>
                                                                    <w:bottom w:val="none" w:sz="0" w:space="0" w:color="auto"/>
                                                                    <w:right w:val="none" w:sz="0" w:space="0" w:color="auto"/>
                                                                  </w:divBdr>
                                                                </w:div>
                                                                <w:div w:id="597838113">
                                                                  <w:marLeft w:val="0"/>
                                                                  <w:marRight w:val="0"/>
                                                                  <w:marTop w:val="0"/>
                                                                  <w:marBottom w:val="0"/>
                                                                  <w:divBdr>
                                                                    <w:top w:val="none" w:sz="0" w:space="0" w:color="auto"/>
                                                                    <w:left w:val="none" w:sz="0" w:space="0" w:color="auto"/>
                                                                    <w:bottom w:val="none" w:sz="0" w:space="0" w:color="auto"/>
                                                                    <w:right w:val="none" w:sz="0" w:space="0" w:color="auto"/>
                                                                  </w:divBdr>
                                                                </w:div>
                                                                <w:div w:id="648248950">
                                                                  <w:marLeft w:val="0"/>
                                                                  <w:marRight w:val="0"/>
                                                                  <w:marTop w:val="0"/>
                                                                  <w:marBottom w:val="0"/>
                                                                  <w:divBdr>
                                                                    <w:top w:val="none" w:sz="0" w:space="0" w:color="auto"/>
                                                                    <w:left w:val="none" w:sz="0" w:space="0" w:color="auto"/>
                                                                    <w:bottom w:val="none" w:sz="0" w:space="0" w:color="auto"/>
                                                                    <w:right w:val="none" w:sz="0" w:space="0" w:color="auto"/>
                                                                  </w:divBdr>
                                                                </w:div>
                                                                <w:div w:id="753629010">
                                                                  <w:marLeft w:val="0"/>
                                                                  <w:marRight w:val="0"/>
                                                                  <w:marTop w:val="0"/>
                                                                  <w:marBottom w:val="0"/>
                                                                  <w:divBdr>
                                                                    <w:top w:val="none" w:sz="0" w:space="0" w:color="auto"/>
                                                                    <w:left w:val="none" w:sz="0" w:space="0" w:color="auto"/>
                                                                    <w:bottom w:val="none" w:sz="0" w:space="0" w:color="auto"/>
                                                                    <w:right w:val="none" w:sz="0" w:space="0" w:color="auto"/>
                                                                  </w:divBdr>
                                                                </w:div>
                                                                <w:div w:id="1086653813">
                                                                  <w:marLeft w:val="0"/>
                                                                  <w:marRight w:val="0"/>
                                                                  <w:marTop w:val="0"/>
                                                                  <w:marBottom w:val="0"/>
                                                                  <w:divBdr>
                                                                    <w:top w:val="none" w:sz="0" w:space="0" w:color="auto"/>
                                                                    <w:left w:val="none" w:sz="0" w:space="0" w:color="auto"/>
                                                                    <w:bottom w:val="none" w:sz="0" w:space="0" w:color="auto"/>
                                                                    <w:right w:val="none" w:sz="0" w:space="0" w:color="auto"/>
                                                                  </w:divBdr>
                                                                </w:div>
                                                                <w:div w:id="1595358996">
                                                                  <w:marLeft w:val="0"/>
                                                                  <w:marRight w:val="0"/>
                                                                  <w:marTop w:val="0"/>
                                                                  <w:marBottom w:val="0"/>
                                                                  <w:divBdr>
                                                                    <w:top w:val="none" w:sz="0" w:space="0" w:color="auto"/>
                                                                    <w:left w:val="none" w:sz="0" w:space="0" w:color="auto"/>
                                                                    <w:bottom w:val="none" w:sz="0" w:space="0" w:color="auto"/>
                                                                    <w:right w:val="none" w:sz="0" w:space="0" w:color="auto"/>
                                                                  </w:divBdr>
                                                                </w:div>
                                                                <w:div w:id="2091003692">
                                                                  <w:marLeft w:val="0"/>
                                                                  <w:marRight w:val="0"/>
                                                                  <w:marTop w:val="0"/>
                                                                  <w:marBottom w:val="0"/>
                                                                  <w:divBdr>
                                                                    <w:top w:val="none" w:sz="0" w:space="0" w:color="auto"/>
                                                                    <w:left w:val="none" w:sz="0" w:space="0" w:color="auto"/>
                                                                    <w:bottom w:val="none" w:sz="0" w:space="0" w:color="auto"/>
                                                                    <w:right w:val="none" w:sz="0" w:space="0" w:color="auto"/>
                                                                  </w:divBdr>
                                                                </w:div>
                                                                <w:div w:id="91790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56980968">
      <w:bodyDiv w:val="1"/>
      <w:marLeft w:val="0"/>
      <w:marRight w:val="0"/>
      <w:marTop w:val="0"/>
      <w:marBottom w:val="0"/>
      <w:divBdr>
        <w:top w:val="none" w:sz="0" w:space="0" w:color="auto"/>
        <w:left w:val="none" w:sz="0" w:space="0" w:color="auto"/>
        <w:bottom w:val="none" w:sz="0" w:space="0" w:color="auto"/>
        <w:right w:val="none" w:sz="0" w:space="0" w:color="auto"/>
      </w:divBdr>
    </w:div>
    <w:div w:id="1966692048">
      <w:bodyDiv w:val="1"/>
      <w:marLeft w:val="0"/>
      <w:marRight w:val="0"/>
      <w:marTop w:val="0"/>
      <w:marBottom w:val="0"/>
      <w:divBdr>
        <w:top w:val="none" w:sz="0" w:space="0" w:color="auto"/>
        <w:left w:val="none" w:sz="0" w:space="0" w:color="auto"/>
        <w:bottom w:val="none" w:sz="0" w:space="0" w:color="auto"/>
        <w:right w:val="none" w:sz="0" w:space="0" w:color="auto"/>
      </w:divBdr>
      <w:divsChild>
        <w:div w:id="487988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S0167-8116(98)00012-3" TargetMode="External"/><Relationship Id="rId18" Type="http://schemas.openxmlformats.org/officeDocument/2006/relationships/hyperlink" Target="https://doi.org/10.1016/j.heliyon.2024.e40098" TargetMode="External"/><Relationship Id="rId26" Type="http://schemas.openxmlformats.org/officeDocument/2006/relationships/hyperlink" Target="https://studenttheses.uu.nl/handle/20.500.12932/42497" TargetMode="External"/><Relationship Id="rId21" Type="http://schemas.openxmlformats.org/officeDocument/2006/relationships/hyperlink" Target="https://doi.org/10.1016/0305-750X(85)90054-3" TargetMode="External"/><Relationship Id="rId34" Type="http://schemas.openxmlformats.org/officeDocument/2006/relationships/hyperlink" Target="https://doi.org/10.1016/j.heliyon.2023.e15905" TargetMode="External"/><Relationship Id="rId7" Type="http://schemas.openxmlformats.org/officeDocument/2006/relationships/webSettings" Target="webSettings.xml"/><Relationship Id="rId12" Type="http://schemas.openxmlformats.org/officeDocument/2006/relationships/chart" Target="charts/chart1.xml"/><Relationship Id="rId17" Type="http://schemas.openxmlformats.org/officeDocument/2006/relationships/hyperlink" Target="https://search.informit.org/doi/10.3316/informit.811524352757599" TargetMode="External"/><Relationship Id="rId25" Type="http://schemas.openxmlformats.org/officeDocument/2006/relationships/hyperlink" Target="https://doi.org/10.7275/3317892" TargetMode="External"/><Relationship Id="rId33" Type="http://schemas.openxmlformats.org/officeDocument/2006/relationships/hyperlink" Target="https://doi.org/10.1287/mnsc.1060.0675"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i.org/10.1002/9781119255574.ch16" TargetMode="External"/><Relationship Id="rId20" Type="http://schemas.openxmlformats.org/officeDocument/2006/relationships/hyperlink" Target="https://doi.org/10.3329/jbau.v16i1.36486" TargetMode="External"/><Relationship Id="rId29" Type="http://schemas.openxmlformats.org/officeDocument/2006/relationships/hyperlink" Target="https://doi.org/10.5147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doi.org/10.1016/j.worlddev.2020.105018" TargetMode="External"/><Relationship Id="rId32" Type="http://schemas.openxmlformats.org/officeDocument/2006/relationships/hyperlink" Target="https://doi.org/10.1002/9781119158042.ch58"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dx.doi.org/10.2139/ssrn.3104554" TargetMode="External"/><Relationship Id="rId23" Type="http://schemas.openxmlformats.org/officeDocument/2006/relationships/hyperlink" Target="https://doi.org/10.1016/j.fcr.2018.03.008" TargetMode="External"/><Relationship Id="rId28" Type="http://schemas.openxmlformats.org/officeDocument/2006/relationships/hyperlink" Target="https://doi.org/10.9734/ajrcs/2023/v8i4225" TargetMode="External"/><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dx.doi.org/10.5751/ES-05574-180133" TargetMode="External"/><Relationship Id="rId31" Type="http://schemas.openxmlformats.org/officeDocument/2006/relationships/hyperlink" Target="https://doi.org/10.1016/j.worlddev.2017.05.01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016/j.wen.2023.07.001" TargetMode="External"/><Relationship Id="rId22" Type="http://schemas.openxmlformats.org/officeDocument/2006/relationships/hyperlink" Target="https://doi.org/10.1016/j.eneco.2018.03.005" TargetMode="External"/><Relationship Id="rId27" Type="http://schemas.openxmlformats.org/officeDocument/2006/relationships/hyperlink" Target="https://doi.org/10.1186/s12870-024-04875-2" TargetMode="External"/><Relationship Id="rId30" Type="http://schemas.openxmlformats.org/officeDocument/2006/relationships/hyperlink" Target="https://doi.org/10.1016/j.agwat.2009.05.007" TargetMode="External"/><Relationship Id="rId35" Type="http://schemas.openxmlformats.org/officeDocument/2006/relationships/hyperlink" Target="https://doi.org/10.1371/journal.pone.0305134" TargetMode="External"/><Relationship Id="rId8" Type="http://schemas.openxmlformats.org/officeDocument/2006/relationships/footnotes" Target="footnote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333-4A21-84AD-5B85E0E78DA3}"/>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333-4A21-84AD-5B85E0E78DA3}"/>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5333-4A21-84AD-5B85E0E78DA3}"/>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5333-4A21-84AD-5B85E0E78DA3}"/>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5333-4A21-84AD-5B85E0E78DA3}"/>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5333-4A21-84AD-5B85E0E78DA3}"/>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5333-4A21-84AD-5B85E0E78DA3}"/>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5333-4A21-84AD-5B85E0E78DA3}"/>
              </c:ext>
            </c:extLst>
          </c:dPt>
          <c:cat>
            <c:strRef>
              <c:f>Sheet1!$J$5:$J$12</c:f>
              <c:strCache>
                <c:ptCount val="8"/>
                <c:pt idx="0">
                  <c:v>Land Inputs (Land Rental + Land Preparation)</c:v>
                </c:pt>
                <c:pt idx="1">
                  <c:v>Seed Rate</c:v>
                </c:pt>
                <c:pt idx="2">
                  <c:v>Irrigation</c:v>
                </c:pt>
                <c:pt idx="3">
                  <c:v>Fertilizer (UREA + DAP)</c:v>
                </c:pt>
                <c:pt idx="4">
                  <c:v>Labor (Planting + Weeding)</c:v>
                </c:pt>
                <c:pt idx="5">
                  <c:v>Chemical Management</c:v>
                </c:pt>
                <c:pt idx="6">
                  <c:v>Post-Harvest Handling and Storage</c:v>
                </c:pt>
                <c:pt idx="7">
                  <c:v>Marketing (Broker Commission)</c:v>
                </c:pt>
              </c:strCache>
            </c:strRef>
          </c:cat>
          <c:val>
            <c:numRef>
              <c:f>Sheet1!$L$5:$L$12</c:f>
              <c:numCache>
                <c:formatCode>General</c:formatCode>
                <c:ptCount val="8"/>
                <c:pt idx="0">
                  <c:v>7.73</c:v>
                </c:pt>
                <c:pt idx="1">
                  <c:v>5.7</c:v>
                </c:pt>
                <c:pt idx="2">
                  <c:v>5.26</c:v>
                </c:pt>
                <c:pt idx="3">
                  <c:v>9.2799999999999994</c:v>
                </c:pt>
                <c:pt idx="4">
                  <c:v>11.75</c:v>
                </c:pt>
                <c:pt idx="5">
                  <c:v>13.92</c:v>
                </c:pt>
                <c:pt idx="6">
                  <c:v>7.73</c:v>
                </c:pt>
                <c:pt idx="7">
                  <c:v>38.64</c:v>
                </c:pt>
              </c:numCache>
            </c:numRef>
          </c:val>
          <c:extLst xmlns:c16r2="http://schemas.microsoft.com/office/drawing/2015/06/chart">
            <c:ext xmlns:c16="http://schemas.microsoft.com/office/drawing/2014/chart" uri="{C3380CC4-5D6E-409C-BE32-E72D297353CC}">
              <c16:uniqueId val="{00000010-5333-4A21-84AD-5B85E0E78DA3}"/>
            </c:ext>
          </c:extLst>
        </c:ser>
        <c:dLbls>
          <c:showLegendKey val="0"/>
          <c:showVal val="0"/>
          <c:showCatName val="0"/>
          <c:showSerName val="0"/>
          <c:showPercent val="0"/>
          <c:showBubbleSize val="0"/>
          <c:showLeaderLines val="1"/>
        </c:dLbls>
        <c:firstSliceAng val="0"/>
        <c:holeSize val="75"/>
      </c:doughnutChart>
      <c:spPr>
        <a:noFill/>
        <a:ln w="25400">
          <a:noFill/>
        </a:ln>
        <a:effectLst/>
      </c:spPr>
    </c:plotArea>
    <c:legend>
      <c:legendPos val="b"/>
      <c:legendEntry>
        <c:idx val="1"/>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2"/>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3"/>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4"/>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5"/>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6"/>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7"/>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675EEC7D7C4A40AEDF113DD1884980" ma:contentTypeVersion="12" ma:contentTypeDescription="Create a new document." ma:contentTypeScope="" ma:versionID="c63f7337c7a737e76bbaf259ceab4260">
  <xsd:schema xmlns:xsd="http://www.w3.org/2001/XMLSchema" xmlns:xs="http://www.w3.org/2001/XMLSchema" xmlns:p="http://schemas.microsoft.com/office/2006/metadata/properties" xmlns:ns3="84817e97-8932-4d0f-b226-14af17166394" targetNamespace="http://schemas.microsoft.com/office/2006/metadata/properties" ma:root="true" ma:fieldsID="b39c7c2dc3ec36f9bce9f3697e7ba765" ns3:_="">
    <xsd:import namespace="84817e97-8932-4d0f-b226-14af1716639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17e97-8932-4d0f-b226-14af1716639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4817e97-8932-4d0f-b226-14af17166394" xsi:nil="true"/>
  </documentManagement>
</p:properties>
</file>

<file path=customXml/itemProps1.xml><?xml version="1.0" encoding="utf-8"?>
<ds:datastoreItem xmlns:ds="http://schemas.openxmlformats.org/officeDocument/2006/customXml" ds:itemID="{A5FFFB76-A7BA-4164-B7C2-68B585CE65DB}">
  <ds:schemaRefs>
    <ds:schemaRef ds:uri="http://schemas.microsoft.com/sharepoint/v3/contenttype/forms"/>
  </ds:schemaRefs>
</ds:datastoreItem>
</file>

<file path=customXml/itemProps2.xml><?xml version="1.0" encoding="utf-8"?>
<ds:datastoreItem xmlns:ds="http://schemas.openxmlformats.org/officeDocument/2006/customXml" ds:itemID="{852D58C9-4D8B-4DBF-B76B-A0B9F7515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17e97-8932-4d0f-b226-14af17166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4B2A84-1FB5-4F19-8560-7EB296A67C2C}">
  <ds:schemaRefs>
    <ds:schemaRef ds:uri="http://schemas.microsoft.com/office/2006/metadata/properties"/>
    <ds:schemaRef ds:uri="http://schemas.microsoft.com/office/infopath/2007/PartnerControls"/>
    <ds:schemaRef ds:uri="84817e97-8932-4d0f-b226-14af1716639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17491</Words>
  <Characters>99702</Characters>
  <Application>Microsoft Office Word</Application>
  <DocSecurity>0</DocSecurity>
  <Lines>830</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Yitages Kuma</dc:creator>
  <cp:keywords/>
  <dc:description/>
  <cp:lastModifiedBy>Microsoft account</cp:lastModifiedBy>
  <cp:revision>2</cp:revision>
  <dcterms:created xsi:type="dcterms:W3CDTF">2026-07-15T07:51:00Z</dcterms:created>
  <dcterms:modified xsi:type="dcterms:W3CDTF">2026-07-15T07:51:00Z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dcfb391b-2557-4fb1-9969-05ff3c6b5897</vt:lpwstr>
  </property>
  <property fmtid="{D5CDD505-2E9C-101B-9397-08002B2CF9AE}" pid="3" name="ContentTypeId">
    <vt:lpwstr>0x01010026675EEC7D7C4A40AEDF113DD1884980</vt:lpwstr>
  </property>
</Properties>
</file>